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602"/>
        <w:tblW w:w="14736" w:type="dxa"/>
        <w:tblLook w:val="04A0" w:firstRow="1" w:lastRow="0" w:firstColumn="1" w:lastColumn="0" w:noHBand="0" w:noVBand="1"/>
      </w:tblPr>
      <w:tblGrid>
        <w:gridCol w:w="3559"/>
        <w:gridCol w:w="3806"/>
        <w:gridCol w:w="2694"/>
        <w:gridCol w:w="3260"/>
        <w:gridCol w:w="1417"/>
      </w:tblGrid>
      <w:tr>
        <w:trPr>
          <w:trHeight w:val="907"/>
        </w:trPr>
        <w:tc>
          <w:tcPr>
            <w:gridSpan w:val="5"/>
            <w:tcW w:w="14736" w:type="dxa"/>
            <w:vAlign w:val="center"/>
            <w:textDirection w:val="lrTb"/>
            <w:noWrap/>
          </w:tcPr>
          <w:p>
            <w:pPr>
              <w:jc w:val="both"/>
              <w:rPr>
                <w:rFonts w:ascii="Arial" w:hAnsi="Arial" w:cs="Arial" w:eastAsia="Times New Roman"/>
                <w:b w:val="0"/>
                <w:bCs w:val="0"/>
                <w:color w:val="222222"/>
                <w:sz w:val="20"/>
                <w:szCs w:val="20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sz w:val="20"/>
                <w:szCs w:val="20"/>
                <w:lang w:eastAsia="es-ES"/>
              </w:rPr>
              <w:t xml:space="preserve">R</w:t>
            </w:r>
            <w:r>
              <w:rPr>
                <w:rFonts w:ascii="Arial" w:hAnsi="Arial" w:cs="Arial" w:eastAsia="Times New Roman"/>
                <w:b w:val="0"/>
                <w:bCs w:val="0"/>
                <w:color w:val="222222"/>
                <w:sz w:val="20"/>
                <w:szCs w:val="20"/>
                <w:lang w:eastAsia="es-ES"/>
              </w:rPr>
              <w:t xml:space="preserve">ellenar y entregar como informe de los seminarios de Declaraciones Nutri</w:t>
            </w:r>
            <w:r>
              <w:rPr>
                <w:rFonts w:ascii="Arial" w:hAnsi="Arial" w:cs="Arial" w:eastAsia="Times New Roman"/>
                <w:b w:val="0"/>
                <w:bCs w:val="0"/>
                <w:color w:val="222222"/>
                <w:sz w:val="20"/>
                <w:szCs w:val="20"/>
                <w:lang w:eastAsia="es-ES"/>
              </w:rPr>
              <w:t xml:space="preserve">cionales. En la columna de requisitos deben describir los contenidos mínimos o máximos necesarios para cada declaración. En la columna cálculos deben reflejar las operaciones para comprobar si el producto puede o no llevar la declaración correspondiente y </w:t>
            </w:r>
            <w:r>
              <w:rPr>
                <w:rFonts w:ascii="Arial" w:hAnsi="Arial" w:cs="Arial" w:eastAsia="Times New Roman"/>
                <w:b w:val="0"/>
                <w:bCs w:val="0"/>
                <w:color w:val="222222"/>
                <w:sz w:val="20"/>
                <w:szCs w:val="20"/>
                <w:lang w:eastAsia="es-ES"/>
              </w:rPr>
              <w:t xml:space="preserve">en la última columna </w:t>
            </w:r>
            <w:r>
              <w:rPr>
                <w:rFonts w:ascii="Arial" w:hAnsi="Arial" w:cs="Arial" w:eastAsia="Times New Roman"/>
                <w:b w:val="0"/>
                <w:bCs w:val="0"/>
                <w:color w:val="222222"/>
                <w:sz w:val="20"/>
                <w:szCs w:val="20"/>
                <w:lang w:eastAsia="es-ES"/>
              </w:rPr>
              <w:t xml:space="preserve">la conclusión final</w:t>
            </w:r>
            <w:r>
              <w:rPr>
                <w:rFonts w:ascii="Arial" w:hAnsi="Arial" w:cs="Arial" w:eastAsia="Times New Roman"/>
                <w:b w:val="0"/>
                <w:bCs w:val="0"/>
                <w:color w:val="222222"/>
                <w:sz w:val="20"/>
                <w:szCs w:val="20"/>
                <w:lang w:eastAsia="es-ES"/>
              </w:rPr>
              <w:t xml:space="preserve"> (cumple o no cumple con los requisitos)</w:t>
            </w:r>
            <w:r/>
          </w:p>
        </w:tc>
      </w:tr>
      <w:tr>
        <w:trPr>
          <w:trHeight w:val="567"/>
        </w:trPr>
        <w:tc>
          <w:tcPr>
            <w:gridSpan w:val="5"/>
            <w:tcW w:w="14736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color w:val="222222"/>
                <w:sz w:val="28"/>
                <w:szCs w:val="28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sz w:val="28"/>
                <w:szCs w:val="28"/>
                <w:lang w:eastAsia="es-ES"/>
              </w:rPr>
              <w:t xml:space="preserve">Nombre/s: </w:t>
            </w:r>
            <w:r/>
          </w:p>
        </w:tc>
      </w:tr>
      <w:tr>
        <w:trPr>
          <w:trHeight w:val="288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Declaración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jc w:val="center"/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  <w:t xml:space="preserve">Requisito</w:t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  <w:t xml:space="preserve">Información del producto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  <w:t xml:space="preserve">Cálculos</w:t>
            </w:r>
            <w:r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  <w:t xml:space="preserve"> 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/>
                <w:bCs/>
                <w:color w:val="222222"/>
                <w:lang w:eastAsia="es-ES"/>
              </w:rPr>
              <w:t xml:space="preserve">¿Cumple?</w:t>
            </w:r>
            <w:r/>
          </w:p>
        </w:tc>
      </w:tr>
      <w:tr>
        <w:trPr>
          <w:trHeight w:val="1701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  <w:t xml:space="preserve">La vitamina B6 contribuye al metabolismo normal de las proteínas y del glucógeno.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Ser fuente de Vitamina B6, es decir tener al menos el 15% de la cantidad recomendada (2mg)</w:t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Plátano 0.51 mg vitamina B6/100 g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(0,51/2)*100 = 25,5%</w:t>
            </w:r>
            <w:r/>
          </w:p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25,5% &gt; 15%</w:t>
            </w:r>
            <w:r/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sí</w:t>
            </w:r>
            <w:r/>
          </w:p>
        </w:tc>
      </w:tr>
      <w:tr>
        <w:trPr>
          <w:trHeight w:val="1701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  <w:t xml:space="preserve">Muy bajo en sal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  <w:t xml:space="preserve">≤0,04 g Na o equivalente en sal </w:t>
            </w:r>
            <w:r>
              <w:rPr>
                <w:rFonts w:ascii="Arial" w:hAnsi="Arial" w:cs="Arial" w:eastAsia="Times New Roman"/>
                <w:lang w:eastAsia="es-ES"/>
              </w:rPr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Galletas de mantequilla con 0.09 g de sal/100 g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0,04*2,5= 0,1 → 0,09g &lt; 0,1g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sí</w:t>
            </w:r>
            <w:r/>
          </w:p>
        </w:tc>
      </w:tr>
      <w:tr>
        <w:trPr>
          <w:trHeight w:val="1701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  <w:t xml:space="preserve">El ácido alfa-linolénico contribuye a mantener niveles normales de colesterol sanguíneo.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que aporten un mínimo de 1,5 g de ácido linoleico por 100 g y 100 Kcal.</w:t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Mayonesa con aceite de girasol con 0.56 g de ALA/100 g y</w:t>
            </w:r>
            <w:r/>
          </w:p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700 kcal/100 g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0,56g &lt; 1,5g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no</w:t>
            </w:r>
            <w:r/>
          </w:p>
        </w:tc>
      </w:tr>
      <w:tr>
        <w:trPr>
          <w:trHeight w:val="1474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  <w:t xml:space="preserve">Light en grasa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-30% de grasa comparado con el original</w:t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Leche desnatada 0.25 g de grasa.</w:t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Leche entera 1.55 g de grasas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(1-(0,25/1,55))*100 = 83%</w:t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highlight w:val="none"/>
                <w:lang w:eastAsia="es-ES"/>
              </w:rPr>
              <w:t xml:space="preserve">83% &gt; 30%</w:t>
            </w: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sí</w:t>
            </w:r>
            <w:r/>
          </w:p>
        </w:tc>
      </w:tr>
      <w:tr>
        <w:trPr>
          <w:trHeight w:val="1701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lang w:eastAsia="es-ES"/>
              </w:rPr>
              <w:t xml:space="preserve">Fuente de vitamina E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Al menos el 15% de la cantidad recomendada (10mg)</w:t>
            </w:r>
            <w:r>
              <w:rPr>
                <w:rFonts w:ascii="Arial" w:hAnsi="Arial" w:cs="Arial" w:eastAsia="Times New Roman"/>
                <w:lang w:eastAsia="es-ES"/>
              </w:rPr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Aceite de oliva 12 mg de vitamina E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(12/10)*100 = 120%</w:t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120% &gt; 15%</w:t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sí</w:t>
            </w:r>
            <w:r/>
          </w:p>
        </w:tc>
      </w:tr>
      <w:tr>
        <w:trPr>
          <w:trHeight w:val="1701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  <w:t xml:space="preserve">Bajo contenido de grasas saturadas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no superior a 1,5 g/100 g para los productos sólidos y a 0,75 g/100 ml para los productos líquidos. No más del 10% de la energía</w:t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Galletas</w:t>
            </w:r>
            <w:r/>
          </w:p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0.33 g de grasas saturadas y</w:t>
            </w:r>
            <w:r/>
          </w:p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108 kcal por 100 g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0,33g &lt; 1,5g </w:t>
            </w:r>
            <w:r/>
          </w:p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  <w:t xml:space="preserve">((0,33*9)/108)*100 = 2,75%</w:t>
            </w:r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  <w:t xml:space="preserve">2,75% &lt; 10%</w:t>
            </w:r>
            <w:r>
              <w:rPr>
                <w:rFonts w:ascii="Arial" w:hAnsi="Arial" w:cs="Arial" w:eastAsia="Times New Roman"/>
                <w:color w:val="222222"/>
                <w:highlight w:val="none"/>
                <w:lang w:eastAsia="es-E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sí</w:t>
            </w:r>
            <w:r/>
          </w:p>
        </w:tc>
      </w:tr>
      <w:tr>
        <w:trPr>
          <w:trHeight w:val="1701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  <w:t xml:space="preserve">Alto contenido en vitamina C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Debe tener 2 veces la cantidad de “fuente de” es decir que debe suponer el 30% de la cantidad recomendada (60mg)</w:t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Remolacha</w:t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10 mg de vitamina C por 100 g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(10/60)*100 = 16,7%</w:t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  <w:t xml:space="preserve">16,7% &lt; 30%</w:t>
            </w: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no</w:t>
            </w:r>
            <w:r/>
          </w:p>
        </w:tc>
      </w:tr>
      <w:tr>
        <w:trPr>
          <w:trHeight w:val="1474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lang w:eastAsia="es-ES"/>
              </w:rPr>
              <w:t xml:space="preserve">Alto contenido en proteínas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Mínimo el 20% del valor energético del alimento</w:t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Yogur de proteínas con 9.7 g de proteínas por 100 g y</w:t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58 kcal por cada 100 g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((9,7*4)/58)*100 = 66,9%</w:t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  <w:t xml:space="preserve">66,9% &gt; 20%</w:t>
            </w:r>
            <w:r/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sí</w:t>
            </w:r>
            <w:r/>
          </w:p>
        </w:tc>
      </w:tr>
      <w:tr>
        <w:trPr>
          <w:trHeight w:val="1474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  <w:t xml:space="preserve">Fuente de fibra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Si </w:t>
            </w:r>
            <w:r>
              <w:rPr>
                <w:rFonts w:ascii="Arial" w:hAnsi="Arial" w:cs="Arial" w:eastAsia="Times New Roman"/>
                <w:lang w:eastAsia="es-ES"/>
              </w:rPr>
              <w:t xml:space="preserve">contiene como mínimo 3 g de fibra por 100 g o, como mínimo, 1,5 g de fibra por 100 kcal.</w:t>
            </w:r>
            <w:r>
              <w:rPr>
                <w:rFonts w:ascii="Arial" w:hAnsi="Arial" w:cs="Arial" w:eastAsia="Times New Roman"/>
                <w:lang w:eastAsia="es-ES"/>
              </w:rPr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Yogur </w:t>
            </w:r>
            <w:r>
              <w:rPr>
                <w:rFonts w:ascii="Arial" w:hAnsi="Arial" w:cs="Arial" w:eastAsia="Times New Roman"/>
                <w:lang w:eastAsia="es-ES"/>
              </w:rPr>
              <w:t xml:space="preserve">bífidus</w:t>
            </w:r>
            <w:r>
              <w:rPr>
                <w:rFonts w:ascii="Arial" w:hAnsi="Arial" w:cs="Arial" w:eastAsia="Times New Roman"/>
                <w:lang w:eastAsia="es-ES"/>
              </w:rPr>
              <w:t xml:space="preserve"> fuente de fibra con 1.3 g/100 g y</w:t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58 kcal/100 g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1,3g &lt; 3g</w:t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highlight w:val="none"/>
                <w:lang w:eastAsia="es-ES"/>
              </w:rPr>
            </w:pPr>
            <w:r>
              <w:rPr>
                <w:rFonts w:ascii="Arial" w:hAnsi="Arial" w:cs="Arial" w:eastAsia="Times New Roman"/>
                <w:highlight w:val="none"/>
                <w:lang w:eastAsia="es-ES"/>
              </w:rPr>
              <w:t xml:space="preserve">(1,3*100)/58 = 2,24 g/100kcal</w:t>
            </w: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</w:r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highlight w:val="none"/>
                <w:lang w:eastAsia="es-ES"/>
              </w:rPr>
              <w:t xml:space="preserve">2,24g &gt; 1,5g</w:t>
            </w:r>
            <w:r>
              <w:rPr>
                <w:rFonts w:ascii="Arial" w:hAnsi="Arial" w:cs="Arial" w:eastAsia="Times New Roman"/>
                <w:highlight w:val="none"/>
                <w:lang w:eastAsia="es-ES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sí</w:t>
            </w:r>
            <w:r/>
          </w:p>
        </w:tc>
      </w:tr>
      <w:tr>
        <w:trPr>
          <w:trHeight w:val="1417"/>
        </w:trPr>
        <w:tc>
          <w:tcPr>
            <w:tcW w:w="3559" w:type="dxa"/>
            <w:vAlign w:val="center"/>
            <w:textDirection w:val="lrTb"/>
            <w:noWrap/>
          </w:tcPr>
          <w:p>
            <w:pP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b w:val="0"/>
                <w:bCs w:val="0"/>
                <w:color w:val="222222"/>
                <w:lang w:eastAsia="es-ES"/>
              </w:rPr>
              <w:t xml:space="preserve">Fuente de calcio</w:t>
            </w:r>
            <w:r/>
          </w:p>
        </w:tc>
        <w:tc>
          <w:tcPr>
            <w:tcW w:w="3806" w:type="dxa"/>
            <w:vAlign w:val="center"/>
            <w:textDirection w:val="lrTb"/>
            <w:noWrap/>
          </w:tcPr>
          <w:p>
            <w:pPr>
              <w:tabs>
                <w:tab w:val="left" w:pos="2784" w:leader="none"/>
              </w:tabs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Al menos el 15% de la cantidad recomendada (800mg)</w:t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/>
          </w:p>
        </w:tc>
        <w:tc>
          <w:tcPr>
            <w:tcW w:w="2694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Leche de cabra</w:t>
            </w:r>
            <w:r/>
          </w:p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120 mg de calcio/ 100 ml</w:t>
            </w:r>
            <w:r/>
          </w:p>
        </w:tc>
        <w:tc>
          <w:tcPr>
            <w:tcW w:w="3260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(120/800)*100 = 15%</w:t>
            </w:r>
            <w:r/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</w:r>
            <w:r>
              <w:rPr>
                <w:rFonts w:ascii="Arial" w:hAnsi="Arial" w:cs="Arial" w:eastAsia="Times New Roman"/>
                <w:lang w:eastAsia="es-ES"/>
              </w:rPr>
            </w:r>
            <w:r/>
          </w:p>
          <w:p>
            <w:pPr>
              <w:rPr>
                <w:rFonts w:ascii="Arial" w:hAnsi="Arial" w:cs="Arial" w:eastAsia="Times New Roman"/>
                <w:lang w:eastAsia="es-ES"/>
              </w:rPr>
            </w:pPr>
            <w:r>
              <w:rPr>
                <w:rFonts w:ascii="Arial" w:hAnsi="Arial" w:cs="Arial" w:eastAsia="Times New Roman"/>
                <w:lang w:eastAsia="es-ES"/>
              </w:rPr>
              <w:t xml:space="preserve">15% = 15%</w:t>
            </w:r>
            <w:r>
              <w:rPr>
                <w:rFonts w:ascii="Arial" w:hAnsi="Arial" w:cs="Arial" w:eastAsia="Times New Roman"/>
                <w:color w:val="222222"/>
                <w:lang w:eastAsia="es-ES"/>
              </w:rPr>
            </w:r>
            <w:r/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rPr>
                <w:rFonts w:ascii="Arial" w:hAnsi="Arial" w:cs="Arial" w:eastAsia="Times New Roman"/>
                <w:color w:val="222222"/>
                <w:lang w:eastAsia="es-ES"/>
              </w:rPr>
            </w:pPr>
            <w:r>
              <w:rPr>
                <w:rFonts w:ascii="Arial" w:hAnsi="Arial" w:cs="Arial" w:eastAsia="Times New Roman"/>
                <w:color w:val="222222"/>
                <w:lang w:eastAsia="es-ES"/>
              </w:rPr>
              <w:t xml:space="preserve">sí</w:t>
            </w:r>
            <w:r/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1134" w:right="1134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 w:hint="default"/>
        <w:sz w:val="22"/>
        <w:szCs w:val="22"/>
        <w:lang w:val="es-ES" w:bidi="ar-SA" w:eastAsia="en-US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598"/>
    <w:next w:val="598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59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598"/>
    <w:next w:val="59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59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598"/>
    <w:next w:val="59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59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598"/>
    <w:next w:val="59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59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598"/>
    <w:next w:val="59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59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598"/>
    <w:next w:val="59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59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598"/>
    <w:next w:val="59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59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598"/>
    <w:next w:val="59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59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598"/>
    <w:next w:val="598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59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29">
    <w:name w:val="List Paragraph"/>
    <w:basedOn w:val="598"/>
    <w:uiPriority w:val="34"/>
    <w:qFormat/>
    <w:pPr>
      <w:contextualSpacing/>
      <w:ind w:left="720"/>
    </w:p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598"/>
    <w:next w:val="59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599"/>
    <w:link w:val="32"/>
    <w:uiPriority w:val="10"/>
    <w:rPr>
      <w:sz w:val="48"/>
      <w:szCs w:val="48"/>
    </w:rPr>
  </w:style>
  <w:style w:type="paragraph" w:styleId="34">
    <w:name w:val="Subtitle"/>
    <w:basedOn w:val="598"/>
    <w:next w:val="59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599"/>
    <w:link w:val="34"/>
    <w:uiPriority w:val="11"/>
    <w:rPr>
      <w:sz w:val="24"/>
      <w:szCs w:val="24"/>
    </w:rPr>
  </w:style>
  <w:style w:type="paragraph" w:styleId="36">
    <w:name w:val="Quote"/>
    <w:basedOn w:val="598"/>
    <w:next w:val="59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598"/>
    <w:next w:val="59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59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599"/>
    <w:link w:val="40"/>
    <w:uiPriority w:val="99"/>
  </w:style>
  <w:style w:type="paragraph" w:styleId="42">
    <w:name w:val="Footer"/>
    <w:basedOn w:val="59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599"/>
    <w:link w:val="42"/>
    <w:uiPriority w:val="99"/>
  </w:style>
  <w:style w:type="paragraph" w:styleId="44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59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599"/>
    <w:uiPriority w:val="99"/>
    <w:unhideWhenUsed/>
    <w:rPr>
      <w:vertAlign w:val="superscript"/>
    </w:rPr>
  </w:style>
  <w:style w:type="paragraph" w:styleId="176">
    <w:name w:val="endnote text"/>
    <w:basedOn w:val="59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599"/>
    <w:uiPriority w:val="99"/>
    <w:semiHidden/>
    <w:unhideWhenUsed/>
    <w:rPr>
      <w:vertAlign w:val="superscript"/>
    </w:rPr>
  </w:style>
  <w:style w:type="paragraph" w:styleId="179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table" w:styleId="602">
    <w:name w:val="Grid Table 4 Accent 5"/>
    <w:basedOn w:val="600"/>
    <w:uiPriority w:val="49"/>
    <w:pPr>
      <w:spacing w:after="0" w:line="240" w:lineRule="auto"/>
    </w:pPr>
    <w:tblPr>
      <w:tblStyleRowBandSize w:val="1"/>
      <w:tblStyleColBandSize w:val="1"/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band1Horz">
      <w:tcPr>
        <w:shd w:val="clear" w:color="auto" w:fill="deeaf6" w:themeFill="accent5" w:themeFillTint="33"/>
      </w:tcPr>
    </w:tblStylePr>
    <w:tblStylePr w:type="band1Vert">
      <w:tcPr>
        <w:shd w:val="clear" w:color="auto" w:fill="deeaf6" w:themeFill="accent5" w:themeFillTint="33"/>
      </w:tcPr>
    </w:tblStylePr>
    <w:tblStylePr w:type="firstCol">
      <w:rPr>
        <w:b/>
        <w:bCs/>
      </w:rPr>
    </w:tblStylePr>
    <w:tblStylePr w:type="firstRow">
      <w:rPr>
        <w:b/>
        <w:bCs/>
        <w:color w:val="FFFFFF" w:themeColor="background1"/>
      </w:rPr>
      <w:tcPr>
        <w:shd w:val="clear" w:color="auto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one" w:color="000000" w:sz="4" w:space="0"/>
          <w:insideV w:val="none" w:color="000000" w:sz="4" w:space="0"/>
        </w:tcBorders>
      </w:tcPr>
    </w:tblStylePr>
    <w:tblStylePr w:type="lastCol">
      <w:rPr>
        <w:b/>
        <w:bCs/>
      </w:rPr>
    </w:tblStylePr>
    <w:tblStylePr w:type="lastRow">
      <w:rPr>
        <w:b/>
        <w:bCs/>
      </w:rPr>
      <w:tcPr>
        <w:tcBorders>
          <w:top w:val="single" w:color="5B9BD5" w:themeColor="accent5" w:sz="4" w:space="0"/>
        </w:tcBorders>
      </w:tcPr>
    </w:tblStylePr>
  </w:style>
  <w:style w:type="character" w:styleId="603">
    <w:name w:val="Hyperlink"/>
    <w:basedOn w:val="599"/>
    <w:uiPriority w:val="99"/>
    <w:unhideWhenUsed/>
    <w:rPr>
      <w:color w:val="0000FF"/>
      <w:u w:val="single"/>
    </w:rPr>
  </w:style>
  <w:style w:type="character" w:styleId="604">
    <w:name w:val="Unresolved Mention"/>
    <w:basedOn w:val="599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Rodríguez Galdón</dc:creator>
  <cp:keywords/>
  <dc:description/>
  <cp:revision>3</cp:revision>
  <dcterms:created xsi:type="dcterms:W3CDTF">2022-03-24T12:34:00Z</dcterms:created>
  <dcterms:modified xsi:type="dcterms:W3CDTF">2022-03-29T15:25:54Z</dcterms:modified>
</cp:coreProperties>
</file>