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numPr>
          <w:ilvl w:val="0"/>
          <w:numId w:val="1"/>
        </w:numPr>
        <w:ind w:left="720" w:hanging="360"/>
        <w:rPr>
          <w:u w:val="none"/>
        </w:rPr>
      </w:pPr>
      <w:r>
        <w:rPr>
          <w:rtl w:val="false"/>
        </w:rPr>
        <w:t xml:space="preserve"> Criterios comunes de las muestras</w:t>
      </w:r>
      <w:r/>
    </w:p>
    <w:p>
      <w:r>
        <w:rPr>
          <w:rtl w:val="false"/>
        </w:rPr>
        <w:t xml:space="preserve">-han de ser representativa del lote completo</w:t>
      </w:r>
      <w:r/>
    </w:p>
    <w:p>
      <w:r>
        <w:rPr>
          <w:rtl w:val="false"/>
        </w:rPr>
        <w:t xml:space="preserve">-deberán ser protegidas frente a contaminación exógena</w:t>
      </w:r>
      <w:r/>
    </w:p>
    <w:p>
      <w:r>
        <w:rPr>
          <w:rtl w:val="false"/>
        </w:rPr>
        <w:t xml:space="preserve">-deberán protegerse frente a tratamientos inadecuados (por ej. temperatura)</w:t>
      </w:r>
      <w:r/>
    </w:p>
    <w:p>
      <w:r>
        <w:rPr>
          <w:rtl w:val="false"/>
        </w:rPr>
        <w:t xml:space="preserve">-deberán examinarse dentro de las 36 horas después del muestreo</w:t>
      </w:r>
      <w:r/>
    </w:p>
    <w:p>
      <w:r>
        <w:rPr>
          <w:rtl w:val="false"/>
        </w:rPr>
        <w:t xml:space="preserve">-deberán mantenerse hasta su análisis a la temperatura adecuada</w:t>
      </w:r>
      <w:r/>
    </w:p>
    <w:p>
      <w:r>
        <w:rPr>
          <w:rtl w:val="false"/>
        </w:rPr>
        <w:t xml:space="preserve">-deberán estar clara y completamente identificadas:</w:t>
      </w:r>
      <w:r/>
    </w:p>
    <w:p>
      <w:pPr>
        <w:ind w:left="720" w:firstLine="0"/>
      </w:pPr>
      <w:r>
        <w:rPr>
          <w:rtl w:val="false"/>
        </w:rPr>
        <w:t xml:space="preserve">descripción de la muestra</w:t>
      </w:r>
      <w:r/>
    </w:p>
    <w:p>
      <w:pPr>
        <w:ind w:left="720" w:firstLine="0"/>
      </w:pPr>
      <w:r>
        <w:rPr>
          <w:rtl w:val="false"/>
        </w:rPr>
        <w:t xml:space="preserve">nombre de la persona que la recogió</w:t>
      </w:r>
      <w:r/>
    </w:p>
    <w:p>
      <w:pPr>
        <w:ind w:left="720" w:firstLine="0"/>
      </w:pPr>
      <w:r>
        <w:rPr>
          <w:rtl w:val="false"/>
        </w:rPr>
        <w:t xml:space="preserve">nombre y dirección del fabricante</w:t>
      </w:r>
      <w:r/>
    </w:p>
    <w:p>
      <w:pPr>
        <w:ind w:left="720" w:firstLine="0"/>
      </w:pPr>
      <w:r>
        <w:rPr>
          <w:rtl w:val="false"/>
        </w:rPr>
        <w:t xml:space="preserve">número del lote</w:t>
      </w:r>
      <w:r/>
    </w:p>
    <w:p>
      <w:pPr>
        <w:ind w:left="720" w:firstLine="0"/>
      </w:pPr>
      <w:r>
        <w:rPr>
          <w:rtl w:val="false"/>
        </w:rPr>
        <w:t xml:space="preserve">distribuidor</w:t>
      </w:r>
      <w:r/>
    </w:p>
    <w:p>
      <w:pPr>
        <w:ind w:left="720" w:firstLine="0"/>
      </w:pPr>
      <w:r>
        <w:rPr>
          <w:rtl w:val="false"/>
        </w:rPr>
        <w:t xml:space="preserve">fecha, lugar y hora de toma de muestra</w:t>
      </w:r>
      <w:r/>
    </w:p>
    <w:p>
      <w:pPr>
        <w:ind w:left="720" w:firstLine="0"/>
      </w:pPr>
      <w:r>
        <w:rPr>
          <w:rtl w:val="false"/>
        </w:rPr>
        <w:t xml:space="preserve">motivo del análisis:</w:t>
      </w:r>
      <w:r/>
    </w:p>
    <w:p>
      <w:pPr>
        <w:numPr>
          <w:ilvl w:val="1"/>
          <w:numId w:val="2"/>
        </w:numPr>
        <w:ind w:left="1440" w:hanging="360"/>
        <w:rPr>
          <w:u w:val="none"/>
        </w:rPr>
      </w:pPr>
      <w:r>
        <w:rPr>
          <w:rtl w:val="false"/>
        </w:rPr>
        <w:t xml:space="preserve">Control calidad</w:t>
      </w:r>
      <w:r/>
    </w:p>
    <w:p>
      <w:pPr>
        <w:numPr>
          <w:ilvl w:val="1"/>
          <w:numId w:val="2"/>
        </w:numPr>
        <w:ind w:left="1440" w:hanging="360"/>
        <w:rPr>
          <w:u w:val="none"/>
        </w:rPr>
      </w:pPr>
      <w:r>
        <w:rPr>
          <w:rtl w:val="false"/>
        </w:rPr>
        <w:t xml:space="preserve">Muestras oficiales</w:t>
      </w:r>
      <w:r/>
    </w:p>
    <w:p>
      <w:pPr>
        <w:numPr>
          <w:ilvl w:val="1"/>
          <w:numId w:val="2"/>
        </w:numPr>
        <w:ind w:left="1440" w:hanging="360"/>
        <w:rPr>
          <w:u w:val="none"/>
        </w:rPr>
      </w:pPr>
      <w:r>
        <w:rPr>
          <w:rtl w:val="false"/>
        </w:rPr>
        <w:t xml:space="preserve">Investigación de enfermedad</w:t>
      </w:r>
      <w:r/>
    </w:p>
    <w:p>
      <w:pPr>
        <w:ind w:left="0" w:firstLine="0"/>
      </w:pPr>
      <w:r>
        <w:rPr>
          <w:rtl w:val="false"/>
        </w:rPr>
      </w:r>
      <w:r/>
    </w:p>
    <w:p>
      <w:pPr>
        <w:ind w:left="720" w:firstLine="0"/>
        <w:jc w:val="center"/>
      </w:pPr>
      <w:r>
        <w:t xml:space="preserve">200 g</w:t>
        <mc:AlternateContent>
          <mc:Choice Requires="wpg">
            <w:drawing>
              <wp:inline xmlns:wp="http://schemas.openxmlformats.org/drawingml/2006/wordprocessingDrawing" distT="0" distB="0" distL="0" distR="0">
                <wp:extent cx="3576638" cy="4479367"/>
                <wp:effectExtent l="0" t="0" r="0" b="0"/>
                <wp:docPr id="1" name="image6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hidden="0"/>
                        <pic:cNvPicPr/>
                        <pic:nvPr isPhoto="0" userDrawn="0"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3576638" cy="447936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81.6pt;height:352.7pt;">
                <v:path textboxrect="0,0,0,0"/>
                <v:imagedata r:id="rId10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ind w:left="720"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0763" cy="3700463"/>
                <wp:effectExtent l="0" t="0" r="0" b="0"/>
                <wp:docPr id="2" name="image1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hidden="0"/>
                        <pic:cNvPicPr/>
                        <pic:nvPr isPhoto="0" userDrawn="0"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6100763" cy="37004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80.4pt;height:291.4pt;">
                <v:path textboxrect="0,0,0,0"/>
                <v:imagedata r:id="rId11" o:title=""/>
              </v:shape>
            </w:pict>
          </mc:Fallback>
        </mc:AlternateContent>
      </w:r>
      <w:r>
        <w:rPr>
          <w:rtl w:val="false"/>
        </w:rPr>
      </w:r>
      <w:r/>
    </w:p>
    <w:p>
      <w:r>
        <w:rPr>
          <w:rtl w:val="false"/>
        </w:rPr>
      </w:r>
      <w:r/>
    </w:p>
    <w:p>
      <w:pPr>
        <w:numPr>
          <w:ilvl w:val="0"/>
          <w:numId w:val="1"/>
        </w:numPr>
        <w:ind w:left="720" w:hanging="360"/>
        <w:rPr>
          <w:u w:val="none"/>
        </w:rPr>
      </w:pPr>
      <w:r>
        <w:rPr>
          <w:rtl w:val="false"/>
        </w:rPr>
        <w:t xml:space="preserve">Para preparar la muestra, primero debes eliminar los microorganismos en el exterior del recipiente(etanol). Lueg</w:t>
      </w:r>
      <w:r>
        <w:rPr>
          <w:rtl w:val="false"/>
        </w:rPr>
        <w:t xml:space="preserve">o se debe mezclar bien la muestra: Agitando con una cuchara o espátula (se trata de una muestra sólida). Luego se retira la porción con la espátula, cuchillo, etc. Por último, se prepara previamente un homogeneizado y detecta y recuento de microorganismos.</w:t>
      </w:r>
      <w:r/>
    </w:p>
    <w:p>
      <w:pPr>
        <w:ind w:left="720" w:firstLine="0"/>
      </w:pPr>
      <w:r>
        <w:rPr>
          <w:rtl w:val="false"/>
        </w:rPr>
        <w:t xml:space="preserve">Métodos oficiales:</w:t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ind w:left="720" w:firstLine="0"/>
      </w:pPr>
      <w:r>
        <w:rPr>
          <w:rtl w:val="false"/>
        </w:rPr>
      </w:r>
      <w:r/>
    </w:p>
    <w:p>
      <w:pPr>
        <w:rPr>
          <w:b/>
        </w:rPr>
      </w:pPr>
      <w:r>
        <w:rPr>
          <w:b/>
          <w:rtl w:val="false"/>
        </w:rPr>
        <w:t xml:space="preserve">Listeria monocytogenes ISO 1129-2 </w:t>
      </w:r>
      <w:r/>
    </w:p>
    <w:p>
      <w:pPr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5229225"/>
                <wp:effectExtent l="0" t="0" r="0" b="0"/>
                <wp:docPr id="3" name="image4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hidden="0"/>
                        <pic:cNvPicPr/>
                        <pic:nvPr isPhoto="0" userDrawn="0"/>
                      </pic:nvPicPr>
                      <pic:blipFill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505450" cy="5229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33.5pt;height:411.8pt;">
                <v:path textboxrect="0,0,0,0"/>
                <v:imagedata r:id="rId12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rPr>
          <w:b/>
        </w:rPr>
      </w:pPr>
      <w:r>
        <w:rPr>
          <w:b/>
          <w:rtl w:val="false"/>
        </w:rPr>
        <w:t xml:space="preserve">STAPHYLOCOCCUS AUREUS</w:t>
      </w:r>
      <w:r/>
    </w:p>
    <w:p>
      <w:pPr>
        <w:rPr>
          <w:b/>
        </w:rPr>
      </w:pPr>
      <w:r>
        <w:rPr>
          <w:rtl w:val="false"/>
        </w:rPr>
      </w:r>
      <w:r/>
    </w:p>
    <w:p>
      <w:r>
        <w:rPr>
          <w:rtl w:val="false"/>
        </w:rPr>
        <w:t xml:space="preserve">1. Tomar con un hisopo una muestra </w:t>
      </w:r>
      <w:r/>
    </w:p>
    <w:p>
      <w:r>
        <w:rPr>
          <w:rtl w:val="false"/>
        </w:rPr>
        <w:t xml:space="preserve">2. Sembrar en estrías, intentando agotar la muestra, en una placa de medio Manitol Sal Agar (MSA). </w:t>
      </w:r>
      <w:r/>
    </w:p>
    <w:p>
      <w:r>
        <w:rPr>
          <w:rtl w:val="false"/>
        </w:rPr>
        <w:t xml:space="preserve">3. Se incuba la placa a 37ºC durante 48h </w:t>
      </w:r>
      <w:r/>
    </w:p>
    <w:p>
      <w:pPr>
        <w:rPr>
          <w:b/>
        </w:rPr>
      </w:pPr>
      <w:r>
        <w:rPr>
          <w:rtl w:val="false"/>
        </w:rPr>
        <w:t xml:space="preserve">4. Pasado este tiempo se observa la aparición de colonias amarillas típicas de S. aureus.</w:t>
      </w:r>
      <w:r>
        <w:rPr>
          <w:b/>
          <w:rtl w:val="false"/>
        </w:rPr>
        <w:t xml:space="preserve"> </w:t>
      </w:r>
      <w:r/>
    </w:p>
    <w:p>
      <w:pPr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00" cy="3708400"/>
                <wp:effectExtent l="0" t="0" r="0" b="0"/>
                <wp:docPr id="4" name="image2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hidden="0"/>
                        <pic:cNvPicPr/>
                        <pic:nvPr isPhoto="0" userDrawn="0"/>
                      </pic:nvPicPr>
                      <pic:blipFill>
                        <a:blip r:embed="rId13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731200" cy="3708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51.3pt;height:292.0pt;">
                <v:path textboxrect="0,0,0,0"/>
                <v:imagedata r:id="rId13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b/>
          <w:rtl w:val="false"/>
        </w:rPr>
        <w:t xml:space="preserve">Salmonella</w:t>
      </w:r>
      <w:r/>
    </w:p>
    <w:p>
      <w:pPr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00" cy="4216400"/>
                <wp:effectExtent l="0" t="0" r="0" b="0"/>
                <wp:docPr id="5" name="image5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hidden="0"/>
                        <pic:cNvPicPr/>
                        <pic:nvPr isPhoto="0" userDrawn="0"/>
                      </pic:nvPicPr>
                      <pic:blipFill>
                        <a:blip r:embed="rId14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731200" cy="421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51.3pt;height:332.0pt;">
                <v:path textboxrect="0,0,0,0"/>
                <v:imagedata r:id="rId14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00" cy="4114800"/>
                <wp:effectExtent l="0" t="0" r="0" b="0"/>
                <wp:docPr id="6" name="image7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 hidden="0"/>
                        <pic:cNvPicPr/>
                        <pic:nvPr isPhoto="0" userDrawn="0"/>
                      </pic:nvPicPr>
                      <pic:blipFill>
                        <a:blip r:embed="rId15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731200" cy="4114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1.3pt;height:324.0pt;">
                <v:path textboxrect="0,0,0,0"/>
                <v:imagedata r:id="rId15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rPr>
          <w:b/>
        </w:rPr>
      </w:pPr>
      <w:r>
        <w:rPr>
          <w:b/>
          <w:rtl w:val="false"/>
        </w:rPr>
        <w:t xml:space="preserve">Enterobacterias</w:t>
      </w:r>
      <w:r/>
    </w:p>
    <w:p>
      <w:pPr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00" cy="8267700"/>
                <wp:effectExtent l="0" t="0" r="0" b="0"/>
                <wp:docPr id="7" name="image3.png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hidden="0"/>
                        <pic:cNvPicPr/>
                        <pic:nvPr isPhoto="0" userDrawn="0"/>
                      </pic:nvPicPr>
                      <pic:blipFill>
                        <a:blip r:embed="rId16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731200" cy="826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451.3pt;height:651.0pt;">
                <v:path textboxrect="0,0,0,0"/>
                <v:imagedata r:id="rId16" o:title=""/>
              </v:shape>
            </w:pict>
          </mc:Fallback>
        </mc:AlternateContent>
      </w:r>
      <w:r>
        <w:rPr>
          <w:rtl w:val="false"/>
        </w:rPr>
      </w:r>
      <w:r/>
    </w:p>
    <w:p>
      <w:pPr>
        <w:rPr>
          <w:b/>
        </w:rPr>
      </w:pPr>
      <w:r>
        <w:rPr>
          <w:rtl w:val="false"/>
        </w:rPr>
      </w:r>
      <w:r/>
    </w:p>
    <w:p>
      <w:pPr>
        <w:numPr>
          <w:ilvl w:val="0"/>
          <w:numId w:val="1"/>
        </w:numPr>
        <w:ind w:left="720" w:hanging="360"/>
      </w:pPr>
      <w:r>
        <w:rPr>
          <w:rtl w:val="false"/>
        </w:rPr>
        <w:t xml:space="preserve">Interpretación del resultado: </w:t>
      </w:r>
      <w:r/>
    </w:p>
    <w:p>
      <w:pPr>
        <w:ind w:left="720" w:firstLine="0"/>
      </w:pPr>
      <w:r>
        <w:rPr>
          <w:rtl w:val="false"/>
        </w:rPr>
        <w:t xml:space="preserve">El primer resultado del estudio, el de </w:t>
      </w:r>
      <w:r>
        <w:rPr>
          <w:b/>
          <w:rtl w:val="false"/>
        </w:rPr>
        <w:t xml:space="preserve">Listeria monocytogenes</w:t>
      </w:r>
      <w:r>
        <w:rPr>
          <w:rtl w:val="false"/>
        </w:rPr>
        <w:t xml:space="preserve"> es satisfactorio ya que no se encontró ninguna unidad formadora de colonia(c = 0). El resultado se expresa como menos de 10 unidades formadoras de colonias.</w:t>
      </w:r>
      <w:r/>
    </w:p>
    <w:p>
      <w:pPr>
        <w:ind w:left="720" w:firstLine="0"/>
      </w:pPr>
      <w:r>
        <w:rPr>
          <w:rtl w:val="false"/>
        </w:rPr>
        <w:t xml:space="preserve">El resultado del análisis de </w:t>
      </w:r>
      <w:r>
        <w:rPr>
          <w:b/>
          <w:rtl w:val="false"/>
        </w:rPr>
        <w:t xml:space="preserve">Salmonella</w:t>
      </w:r>
      <w:r>
        <w:rPr>
          <w:rtl w:val="false"/>
        </w:rPr>
        <w:t xml:space="preserve"> es satisfactorio, al igual que en el caso de listeria monocytogenes, ya que no se encuentra ninguna unidad formadora de colonia (c=0).</w:t>
      </w:r>
      <w:r/>
    </w:p>
    <w:p>
      <w:pPr>
        <w:ind w:left="720" w:firstLine="0"/>
      </w:pPr>
      <w:r>
        <w:rPr>
          <w:rtl w:val="false"/>
        </w:rPr>
        <w:t xml:space="preserve">En el caso de las </w:t>
      </w:r>
      <w:r>
        <w:rPr>
          <w:b/>
          <w:rtl w:val="false"/>
        </w:rPr>
        <w:t xml:space="preserve">Enterobacterias</w:t>
      </w:r>
      <w:r>
        <w:rPr>
          <w:rtl w:val="false"/>
        </w:rPr>
        <w:t xml:space="preserve">, se ha detectado 1 unidad formadora de colonias (c=2) por lo que el resultado sigue siendo satisfactorio ya que para lo sea puede haber presencia de entre 0-1 unidades formadoras de colonias.</w:t>
      </w:r>
      <w:r/>
    </w:p>
    <w:p>
      <w:pPr>
        <w:ind w:left="720" w:firstLine="0"/>
      </w:pPr>
      <w:r>
        <w:rPr>
          <w:rtl w:val="false"/>
        </w:rPr>
        <w:t xml:space="preserve">Por último, en el caso de los </w:t>
      </w:r>
      <w:r>
        <w:rPr>
          <w:b/>
          <w:rtl w:val="false"/>
        </w:rPr>
        <w:t xml:space="preserve">Staphylococcus aureus</w:t>
      </w:r>
      <w:r>
        <w:rPr>
          <w:rtl w:val="false"/>
        </w:rPr>
        <w:t xml:space="preserve">, el resultado es satisfactorio ya que no se encuentra ninguna unidad formadora de colonias, cuando el límite es de dos unidades formadoras de colonias.</w:t>
      </w:r>
      <w:r/>
    </w:p>
    <w:p>
      <w:pPr>
        <w:ind w:left="720" w:firstLine="0"/>
      </w:pPr>
      <w:r>
        <w:rPr>
          <w:rtl w:val="false"/>
        </w:rPr>
      </w:r>
      <w:r/>
    </w:p>
    <w:sectPr>
      <w:footerReference w:type="default" r:id="rId9"/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rtl w:val="false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es" w:bidi="ar-SA" w:eastAsia="zh-CN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link w:val="827"/>
    <w:uiPriority w:val="9"/>
    <w:rPr>
      <w:rFonts w:ascii="Arial" w:hAnsi="Arial" w:cs="Arial" w:eastAsia="Arial"/>
      <w:sz w:val="40"/>
      <w:szCs w:val="40"/>
    </w:rPr>
  </w:style>
  <w:style w:type="character" w:styleId="655">
    <w:name w:val="Heading 2 Char"/>
    <w:link w:val="828"/>
    <w:uiPriority w:val="9"/>
    <w:rPr>
      <w:rFonts w:ascii="Arial" w:hAnsi="Arial" w:cs="Arial" w:eastAsia="Arial"/>
      <w:sz w:val="34"/>
    </w:rPr>
  </w:style>
  <w:style w:type="character" w:styleId="656">
    <w:name w:val="Heading 3 Char"/>
    <w:link w:val="829"/>
    <w:uiPriority w:val="9"/>
    <w:rPr>
      <w:rFonts w:ascii="Arial" w:hAnsi="Arial" w:cs="Arial" w:eastAsia="Arial"/>
      <w:sz w:val="30"/>
      <w:szCs w:val="30"/>
    </w:rPr>
  </w:style>
  <w:style w:type="character" w:styleId="657">
    <w:name w:val="Heading 4 Char"/>
    <w:link w:val="830"/>
    <w:uiPriority w:val="9"/>
    <w:rPr>
      <w:rFonts w:ascii="Arial" w:hAnsi="Arial" w:cs="Arial" w:eastAsia="Arial"/>
      <w:b/>
      <w:bCs/>
      <w:sz w:val="26"/>
      <w:szCs w:val="26"/>
    </w:rPr>
  </w:style>
  <w:style w:type="character" w:styleId="658">
    <w:name w:val="Heading 5 Char"/>
    <w:link w:val="831"/>
    <w:uiPriority w:val="9"/>
    <w:rPr>
      <w:rFonts w:ascii="Arial" w:hAnsi="Arial" w:cs="Arial" w:eastAsia="Arial"/>
      <w:b/>
      <w:bCs/>
      <w:sz w:val="24"/>
      <w:szCs w:val="24"/>
    </w:rPr>
  </w:style>
  <w:style w:type="character" w:styleId="659">
    <w:name w:val="Heading 6 Char"/>
    <w:link w:val="832"/>
    <w:uiPriority w:val="9"/>
    <w:rPr>
      <w:rFonts w:ascii="Arial" w:hAnsi="Arial" w:cs="Arial" w:eastAsia="Arial"/>
      <w:b/>
      <w:bCs/>
      <w:sz w:val="22"/>
      <w:szCs w:val="22"/>
    </w:rPr>
  </w:style>
  <w:style w:type="paragraph" w:styleId="660">
    <w:name w:val="Heading 7"/>
    <w:basedOn w:val="825"/>
    <w:next w:val="825"/>
    <w:link w:val="6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1">
    <w:name w:val="Heading 7 Char"/>
    <w:link w:val="66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2">
    <w:name w:val="Heading 8"/>
    <w:basedOn w:val="825"/>
    <w:next w:val="825"/>
    <w:link w:val="6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63">
    <w:name w:val="Heading 8 Char"/>
    <w:link w:val="662"/>
    <w:uiPriority w:val="9"/>
    <w:rPr>
      <w:rFonts w:ascii="Arial" w:hAnsi="Arial" w:cs="Arial" w:eastAsia="Arial"/>
      <w:i/>
      <w:iCs/>
      <w:sz w:val="22"/>
      <w:szCs w:val="22"/>
    </w:rPr>
  </w:style>
  <w:style w:type="paragraph" w:styleId="664">
    <w:name w:val="Heading 9"/>
    <w:basedOn w:val="825"/>
    <w:next w:val="825"/>
    <w:link w:val="66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5">
    <w:name w:val="Heading 9 Char"/>
    <w:link w:val="664"/>
    <w:uiPriority w:val="9"/>
    <w:rPr>
      <w:rFonts w:ascii="Arial" w:hAnsi="Arial" w:cs="Arial" w:eastAsia="Arial"/>
      <w:i/>
      <w:iCs/>
      <w:sz w:val="21"/>
      <w:szCs w:val="21"/>
    </w:rPr>
  </w:style>
  <w:style w:type="paragraph" w:styleId="666">
    <w:name w:val="List Paragraph"/>
    <w:basedOn w:val="825"/>
    <w:uiPriority w:val="34"/>
    <w:qFormat/>
    <w:pPr>
      <w:contextualSpacing/>
      <w:ind w:left="720"/>
    </w:pPr>
  </w:style>
  <w:style w:type="table" w:styleId="667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8">
    <w:name w:val="No Spacing"/>
    <w:uiPriority w:val="1"/>
    <w:qFormat/>
    <w:pPr>
      <w:spacing w:before="0" w:after="0" w:line="240" w:lineRule="auto"/>
    </w:pPr>
  </w:style>
  <w:style w:type="character" w:styleId="669">
    <w:name w:val="Title Char"/>
    <w:link w:val="833"/>
    <w:uiPriority w:val="10"/>
    <w:rPr>
      <w:sz w:val="48"/>
      <w:szCs w:val="48"/>
    </w:rPr>
  </w:style>
  <w:style w:type="character" w:styleId="670">
    <w:name w:val="Subtitle Char"/>
    <w:link w:val="834"/>
    <w:uiPriority w:val="11"/>
    <w:rPr>
      <w:sz w:val="24"/>
      <w:szCs w:val="24"/>
    </w:rPr>
  </w:style>
  <w:style w:type="paragraph" w:styleId="671">
    <w:name w:val="Quote"/>
    <w:basedOn w:val="825"/>
    <w:next w:val="825"/>
    <w:link w:val="672"/>
    <w:uiPriority w:val="29"/>
    <w:qFormat/>
    <w:pPr>
      <w:ind w:left="720" w:right="720"/>
    </w:pPr>
    <w:rPr>
      <w:i/>
    </w:rPr>
  </w:style>
  <w:style w:type="character" w:styleId="672">
    <w:name w:val="Quote Char"/>
    <w:link w:val="671"/>
    <w:uiPriority w:val="29"/>
    <w:rPr>
      <w:i/>
    </w:rPr>
  </w:style>
  <w:style w:type="paragraph" w:styleId="673">
    <w:name w:val="Intense Quote"/>
    <w:basedOn w:val="825"/>
    <w:next w:val="825"/>
    <w:link w:val="67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4">
    <w:name w:val="Intense Quote Char"/>
    <w:link w:val="673"/>
    <w:uiPriority w:val="30"/>
    <w:rPr>
      <w:i/>
    </w:rPr>
  </w:style>
  <w:style w:type="paragraph" w:styleId="675">
    <w:name w:val="Header"/>
    <w:basedOn w:val="825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Header Char"/>
    <w:link w:val="675"/>
    <w:uiPriority w:val="99"/>
  </w:style>
  <w:style w:type="paragraph" w:styleId="677">
    <w:name w:val="Footer"/>
    <w:basedOn w:val="825"/>
    <w:link w:val="6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Footer Char"/>
    <w:link w:val="677"/>
    <w:uiPriority w:val="99"/>
  </w:style>
  <w:style w:type="paragraph" w:styleId="679">
    <w:name w:val="Caption"/>
    <w:basedOn w:val="825"/>
    <w:next w:val="8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677"/>
    <w:uiPriority w:val="99"/>
  </w:style>
  <w:style w:type="table" w:styleId="681">
    <w:name w:val="Table Grid"/>
    <w:basedOn w:val="6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2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3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4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5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6">
    <w:name w:val="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8">
    <w:name w:val="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9">
    <w:name w:val="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0">
    <w:name w:val="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1">
    <w:name w:val="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2">
    <w:name w:val="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3">
    <w:name w:val="Bordered &amp; 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Bordered &amp; 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Bordered &amp; 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Bordered &amp; 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Bordered &amp; 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Bordered &amp; 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7">
    <w:name w:val="Hyperlink"/>
    <w:uiPriority w:val="99"/>
    <w:unhideWhenUsed/>
    <w:rPr>
      <w:color w:val="0000FF" w:themeColor="hyperlink"/>
      <w:u w:val="single"/>
    </w:rPr>
  </w:style>
  <w:style w:type="paragraph" w:styleId="808">
    <w:name w:val="footnote text"/>
    <w:basedOn w:val="825"/>
    <w:link w:val="809"/>
    <w:uiPriority w:val="99"/>
    <w:semiHidden/>
    <w:unhideWhenUsed/>
    <w:pPr>
      <w:spacing w:after="40" w:line="240" w:lineRule="auto"/>
    </w:pPr>
    <w:rPr>
      <w:sz w:val="18"/>
    </w:rPr>
  </w:style>
  <w:style w:type="character" w:styleId="809">
    <w:name w:val="Footnote Text Char"/>
    <w:link w:val="808"/>
    <w:uiPriority w:val="99"/>
    <w:rPr>
      <w:sz w:val="18"/>
    </w:rPr>
  </w:style>
  <w:style w:type="character" w:styleId="810">
    <w:name w:val="footnote reference"/>
    <w:uiPriority w:val="99"/>
    <w:unhideWhenUsed/>
    <w:rPr>
      <w:vertAlign w:val="superscript"/>
    </w:rPr>
  </w:style>
  <w:style w:type="paragraph" w:styleId="811">
    <w:name w:val="endnote text"/>
    <w:basedOn w:val="825"/>
    <w:link w:val="812"/>
    <w:uiPriority w:val="99"/>
    <w:semiHidden/>
    <w:unhideWhenUsed/>
    <w:pPr>
      <w:spacing w:after="0" w:line="240" w:lineRule="auto"/>
    </w:pPr>
    <w:rPr>
      <w:sz w:val="20"/>
    </w:rPr>
  </w:style>
  <w:style w:type="character" w:styleId="812">
    <w:name w:val="Endnote Text Char"/>
    <w:link w:val="811"/>
    <w:uiPriority w:val="99"/>
    <w:rPr>
      <w:sz w:val="20"/>
    </w:rPr>
  </w:style>
  <w:style w:type="character" w:styleId="813">
    <w:name w:val="endnote reference"/>
    <w:uiPriority w:val="99"/>
    <w:semiHidden/>
    <w:unhideWhenUsed/>
    <w:rPr>
      <w:vertAlign w:val="superscript"/>
    </w:rPr>
  </w:style>
  <w:style w:type="paragraph" w:styleId="814">
    <w:name w:val="toc 1"/>
    <w:basedOn w:val="825"/>
    <w:next w:val="825"/>
    <w:uiPriority w:val="39"/>
    <w:unhideWhenUsed/>
    <w:pPr>
      <w:ind w:left="0" w:right="0" w:firstLine="0"/>
      <w:spacing w:after="57"/>
    </w:pPr>
  </w:style>
  <w:style w:type="paragraph" w:styleId="815">
    <w:name w:val="toc 2"/>
    <w:basedOn w:val="825"/>
    <w:next w:val="825"/>
    <w:uiPriority w:val="39"/>
    <w:unhideWhenUsed/>
    <w:pPr>
      <w:ind w:left="283" w:right="0" w:firstLine="0"/>
      <w:spacing w:after="57"/>
    </w:pPr>
  </w:style>
  <w:style w:type="paragraph" w:styleId="816">
    <w:name w:val="toc 3"/>
    <w:basedOn w:val="825"/>
    <w:next w:val="825"/>
    <w:uiPriority w:val="39"/>
    <w:unhideWhenUsed/>
    <w:pPr>
      <w:ind w:left="567" w:right="0" w:firstLine="0"/>
      <w:spacing w:after="57"/>
    </w:pPr>
  </w:style>
  <w:style w:type="paragraph" w:styleId="817">
    <w:name w:val="toc 4"/>
    <w:basedOn w:val="825"/>
    <w:next w:val="825"/>
    <w:uiPriority w:val="39"/>
    <w:unhideWhenUsed/>
    <w:pPr>
      <w:ind w:left="850" w:right="0" w:firstLine="0"/>
      <w:spacing w:after="57"/>
    </w:pPr>
  </w:style>
  <w:style w:type="paragraph" w:styleId="818">
    <w:name w:val="toc 5"/>
    <w:basedOn w:val="825"/>
    <w:next w:val="825"/>
    <w:uiPriority w:val="39"/>
    <w:unhideWhenUsed/>
    <w:pPr>
      <w:ind w:left="1134" w:right="0" w:firstLine="0"/>
      <w:spacing w:after="57"/>
    </w:pPr>
  </w:style>
  <w:style w:type="paragraph" w:styleId="819">
    <w:name w:val="toc 6"/>
    <w:basedOn w:val="825"/>
    <w:next w:val="825"/>
    <w:uiPriority w:val="39"/>
    <w:unhideWhenUsed/>
    <w:pPr>
      <w:ind w:left="1417" w:right="0" w:firstLine="0"/>
      <w:spacing w:after="57"/>
    </w:pPr>
  </w:style>
  <w:style w:type="paragraph" w:styleId="820">
    <w:name w:val="toc 7"/>
    <w:basedOn w:val="825"/>
    <w:next w:val="825"/>
    <w:uiPriority w:val="39"/>
    <w:unhideWhenUsed/>
    <w:pPr>
      <w:ind w:left="1701" w:right="0" w:firstLine="0"/>
      <w:spacing w:after="57"/>
    </w:pPr>
  </w:style>
  <w:style w:type="paragraph" w:styleId="821">
    <w:name w:val="toc 8"/>
    <w:basedOn w:val="825"/>
    <w:next w:val="825"/>
    <w:uiPriority w:val="39"/>
    <w:unhideWhenUsed/>
    <w:pPr>
      <w:ind w:left="1984" w:right="0" w:firstLine="0"/>
      <w:spacing w:after="57"/>
    </w:pPr>
  </w:style>
  <w:style w:type="paragraph" w:styleId="822">
    <w:name w:val="toc 9"/>
    <w:basedOn w:val="825"/>
    <w:next w:val="825"/>
    <w:uiPriority w:val="39"/>
    <w:unhideWhenUsed/>
    <w:pPr>
      <w:ind w:left="2268" w:right="0" w:firstLine="0"/>
      <w:spacing w:after="57"/>
    </w:pPr>
  </w:style>
  <w:style w:type="paragraph" w:styleId="823">
    <w:name w:val="TOC Heading"/>
    <w:uiPriority w:val="39"/>
    <w:unhideWhenUsed/>
  </w:style>
  <w:style w:type="paragraph" w:styleId="824">
    <w:name w:val="table of figures"/>
    <w:basedOn w:val="825"/>
    <w:next w:val="825"/>
    <w:uiPriority w:val="99"/>
    <w:unhideWhenUsed/>
    <w:pPr>
      <w:spacing w:after="0" w:afterAutospacing="0"/>
    </w:pPr>
  </w:style>
  <w:style w:type="paragraph" w:styleId="825" w:default="1">
    <w:name w:val="Normal"/>
  </w:style>
  <w:style w:type="table" w:styleId="826" w:default="1">
    <w:name w:val="Table Normal"/>
    <w:tblPr/>
  </w:style>
  <w:style w:type="paragraph" w:styleId="827">
    <w:name w:val="Heading 1"/>
    <w:basedOn w:val="825"/>
    <w:next w:val="825"/>
    <w:pPr>
      <w:keepLines/>
      <w:keepNext/>
      <w:pageBreakBefore w:val="0"/>
      <w:spacing w:before="400" w:after="120"/>
    </w:pPr>
    <w:rPr>
      <w:sz w:val="40"/>
      <w:szCs w:val="40"/>
    </w:rPr>
  </w:style>
  <w:style w:type="paragraph" w:styleId="828">
    <w:name w:val="Heading 2"/>
    <w:basedOn w:val="825"/>
    <w:next w:val="825"/>
    <w:pPr>
      <w:keepLines/>
      <w:keepNext/>
      <w:pageBreakBefore w:val="0"/>
      <w:spacing w:before="360" w:after="120"/>
    </w:pPr>
    <w:rPr>
      <w:b w:val="0"/>
      <w:sz w:val="32"/>
      <w:szCs w:val="32"/>
    </w:rPr>
  </w:style>
  <w:style w:type="paragraph" w:styleId="829">
    <w:name w:val="Heading 3"/>
    <w:basedOn w:val="825"/>
    <w:next w:val="825"/>
    <w:pPr>
      <w:keepLines/>
      <w:keepNext/>
      <w:pageBreakBefore w:val="0"/>
      <w:spacing w:before="320" w:after="80"/>
    </w:pPr>
    <w:rPr>
      <w:b w:val="0"/>
      <w:color w:val="434343"/>
      <w:sz w:val="28"/>
      <w:szCs w:val="28"/>
    </w:rPr>
  </w:style>
  <w:style w:type="paragraph" w:styleId="830">
    <w:name w:val="Heading 4"/>
    <w:basedOn w:val="825"/>
    <w:next w:val="825"/>
    <w:pPr>
      <w:keepLines/>
      <w:keepNext/>
      <w:pageBreakBefore w:val="0"/>
      <w:spacing w:before="280" w:after="80"/>
    </w:pPr>
    <w:rPr>
      <w:color w:val="666666"/>
      <w:sz w:val="24"/>
      <w:szCs w:val="24"/>
    </w:rPr>
  </w:style>
  <w:style w:type="paragraph" w:styleId="831">
    <w:name w:val="Heading 5"/>
    <w:basedOn w:val="825"/>
    <w:next w:val="825"/>
    <w:pPr>
      <w:keepLines/>
      <w:keepNext/>
      <w:pageBreakBefore w:val="0"/>
      <w:spacing w:before="240" w:after="80"/>
    </w:pPr>
    <w:rPr>
      <w:color w:val="666666"/>
      <w:sz w:val="22"/>
      <w:szCs w:val="22"/>
    </w:rPr>
  </w:style>
  <w:style w:type="paragraph" w:styleId="832">
    <w:name w:val="Heading 6"/>
    <w:basedOn w:val="825"/>
    <w:next w:val="825"/>
    <w:pPr>
      <w:keepLines/>
      <w:keepNext/>
      <w:pageBreakBefore w:val="0"/>
      <w:spacing w:before="240" w:after="80"/>
    </w:pPr>
    <w:rPr>
      <w:i/>
      <w:color w:val="666666"/>
      <w:sz w:val="22"/>
      <w:szCs w:val="22"/>
    </w:rPr>
  </w:style>
  <w:style w:type="paragraph" w:styleId="833">
    <w:name w:val="Title"/>
    <w:basedOn w:val="825"/>
    <w:next w:val="825"/>
    <w:pPr>
      <w:keepLines/>
      <w:keepNext/>
      <w:pageBreakBefore w:val="0"/>
      <w:spacing w:before="0" w:after="60"/>
    </w:pPr>
    <w:rPr>
      <w:sz w:val="52"/>
      <w:szCs w:val="52"/>
    </w:rPr>
  </w:style>
  <w:style w:type="paragraph" w:styleId="834">
    <w:name w:val="Subtitle"/>
    <w:basedOn w:val="825"/>
    <w:next w:val="825"/>
    <w:pPr>
      <w:keepLines/>
      <w:keepNext/>
      <w:pageBreakBefore w:val="0"/>
      <w:spacing w:before="0" w:after="320"/>
    </w:pPr>
    <w:rPr>
      <w:rFonts w:ascii="Arial" w:hAnsi="Arial" w:cs="Arial" w:eastAsia="Arial"/>
      <w:i w:val="0"/>
      <w:color w:val="666666"/>
      <w:sz w:val="30"/>
      <w:szCs w:val="30"/>
    </w:rPr>
  </w:style>
  <w:style w:type="character" w:styleId="835" w:default="1">
    <w:name w:val="Default Paragraph Font"/>
    <w:uiPriority w:val="1"/>
    <w:semiHidden/>
    <w:unhideWhenUsed/>
  </w:style>
  <w:style w:type="numbering" w:styleId="8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2022-05-17T13:18:59Z</dcterms:modified>
</cp:coreProperties>
</file>