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1"/>
        <w:ind w:left="0" w:firstLine="0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Nombre: 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Tommaso Zanette</w:t>
      </w:r>
      <w:r>
        <w:rPr>
          <w:color w:val="0070c0"/>
        </w:rPr>
      </w:r>
    </w:p>
    <w:p>
      <w:pPr>
        <w:pStyle w:val="711"/>
        <w:ind w:left="0" w:firstLine="0"/>
        <w:rPr>
          <w:rFonts w:asciiTheme="minorHAnsi" w:hAnsiTheme="minorHAnsi" w:cstheme="minorHAnsi"/>
          <w:color w:val="0070c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Grupo: 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102</w:t>
      </w:r>
      <w:r>
        <w:rPr>
          <w:color w:val="0070c0"/>
        </w:rPr>
      </w:r>
    </w:p>
    <w:p>
      <w:pPr>
        <w:pStyle w:val="711"/>
        <w:ind w:left="0" w:firstLine="0"/>
        <w:spacing w:before="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/>
    </w:p>
    <w:p>
      <w:pPr>
        <w:ind w:left="2167"/>
        <w:spacing w:before="4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PREGUNTAS PARA EL SEMINARIO DE VACUNAS</w:t>
      </w:r>
      <w:r/>
    </w:p>
    <w:p>
      <w:pPr>
        <w:jc w:val="both"/>
        <w:spacing w:before="4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Rellena el siguiente bloque de preguntas según la información adquirida durante el seminario y apoyándote en la bibliografía adjunta.</w:t>
      </w:r>
      <w:r/>
    </w:p>
    <w:p>
      <w:pPr>
        <w:pStyle w:val="711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</w:r>
      <w:r/>
    </w:p>
    <w:p>
      <w:pPr>
        <w:pStyle w:val="712"/>
        <w:numPr>
          <w:ilvl w:val="0"/>
          <w:numId w:val="2"/>
        </w:num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¿</w:t>
      </w:r>
      <w:r>
        <w:rPr>
          <w:rFonts w:asciiTheme="minorHAnsi" w:hAnsiTheme="minorHAnsi" w:cstheme="minorHAnsi"/>
        </w:rPr>
        <w:t xml:space="preserve">Q</w:t>
      </w:r>
      <w:r>
        <w:rPr>
          <w:rFonts w:asciiTheme="minorHAnsi" w:hAnsiTheme="minorHAnsi" w:cstheme="minorHAnsi"/>
        </w:rPr>
        <w:t xml:space="preserve">ué es un estudio o análisis de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 xml:space="preserve">coste-efectividad?</w:t>
      </w:r>
      <w:r/>
    </w:p>
    <w:p>
      <w:p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ab/>
      </w:r>
      <w:r>
        <w:rPr>
          <w:rFonts w:asciiTheme="minorHAnsi" w:hAnsiTheme="minorHAnsi" w:cstheme="minorHAnsi"/>
          <w:color w:val="0070c0"/>
          <w:highlight w:val="none"/>
        </w:rPr>
        <w:t xml:space="preserve">Un estudio </w:t>
      </w:r>
      <w:r>
        <w:rPr>
          <w:rFonts w:asciiTheme="minorHAnsi" w:hAnsiTheme="minorHAnsi" w:cstheme="minorHAnsi"/>
          <w:color w:val="0070c0"/>
          <w:highlight w:val="none"/>
        </w:rPr>
        <w:t xml:space="preserve">coste-efectividad es un tipo de evaluaci</w:t>
      </w:r>
      <w:r>
        <w:rPr>
          <w:rFonts w:asciiTheme="minorHAnsi" w:hAnsiTheme="minorHAnsi" w:cstheme="minorHAnsi"/>
          <w:color w:val="0070c0"/>
          <w:highlight w:val="none"/>
        </w:rPr>
        <w:t xml:space="preserve">ón a nivel eco</w:t>
      </w:r>
      <w:r>
        <w:rPr>
          <w:rFonts w:asciiTheme="minorHAnsi" w:hAnsiTheme="minorHAnsi" w:cstheme="minorHAnsi"/>
          <w:color w:val="0070c0"/>
          <w:highlight w:val="none"/>
        </w:rPr>
        <w:t xml:space="preserve">n</w:t>
      </w:r>
      <w:r>
        <w:rPr>
          <w:rFonts w:asciiTheme="minorHAnsi" w:hAnsiTheme="minorHAnsi" w:cstheme="minorHAnsi"/>
          <w:color w:val="0070c0"/>
          <w:highlight w:val="none"/>
        </w:rPr>
        <w:t xml:space="preserve">ómico, para ver si los costes </w:t>
        <w:tab/>
        <w:t xml:space="preserve">necesarios para crear la vacuna son rentables en comparaci</w:t>
      </w:r>
      <w:r>
        <w:rPr>
          <w:rFonts w:asciiTheme="minorHAnsi" w:hAnsiTheme="minorHAnsi" w:cstheme="minorHAnsi"/>
          <w:color w:val="0070c0"/>
          <w:highlight w:val="none"/>
        </w:rPr>
        <w:t xml:space="preserve">ón a la efectividad de la misma. Este tipo </w:t>
        <w:tab/>
        <w:t xml:space="preserve">de estudio se usa para comparar entre vacunas de cara a las estrategias vacunales nuevas.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ab/>
        <w:t xml:space="preserve">La efectividad se mide en cambios de la morbilidad y mortalidad, incidencia y años de vida ganados.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ab/>
        <w:t xml:space="preserve">No se utiliza en vacunaciones sistemáticas ya que no hace falta, se sabe que son efectivas y eficaces. </w:t>
        <w:tab/>
        <w:t xml:space="preserve">Aquellas enfermedades con menores antigenicas presentan un mejor balance coste-efectividad.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2"/>
        </w:numPr>
        <w:ind w:right="645"/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Calendarios vacunales. Cuántos hay en España, a quién van dirigidos, quién los planifica y quién los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ejecuta.</w:t>
      </w:r>
      <w:r/>
    </w:p>
    <w:p>
      <w:pPr>
        <w:ind w:right="645"/>
        <w:tabs>
          <w:tab w:val="left" w:pos="834" w:leader="none"/>
        </w:tabs>
        <w:rPr>
          <w:rFonts w:asciiTheme="minorHAnsi" w:hAnsiTheme="minorHAnsi" w:cstheme="minorHAnsi"/>
          <w:highlight w:val="none"/>
        </w:rPr>
      </w:pPr>
      <w:r>
        <w:rPr>
          <w:rFonts w:asciiTheme="minorHAnsi" w:hAnsiTheme="minorHAnsi" w:cstheme="minorHAnsi"/>
          <w:highlight w:val="none"/>
        </w:rPr>
        <w:tab/>
      </w:r>
      <w:r>
        <w:rPr>
          <w:rFonts w:asciiTheme="minorHAnsi" w:hAnsiTheme="minorHAnsi" w:cstheme="minorHAnsi"/>
          <w:color w:val="0070c0"/>
          <w:highlight w:val="none"/>
        </w:rPr>
        <w:t xml:space="preserve">En Espa</w:t>
      </w:r>
      <w:r>
        <w:rPr>
          <w:rFonts w:asciiTheme="minorHAnsi" w:hAnsiTheme="minorHAnsi" w:cstheme="minorHAnsi"/>
          <w:color w:val="0070c0"/>
          <w:highlight w:val="none"/>
        </w:rPr>
        <w:t xml:space="preserve">ña hay 19 calendarios vacunales, 17 por cada comunidad autónoma y 2 para Ceuta y </w:t>
        <w:tab/>
        <w:t xml:space="preserve">Melilla, van dirigidos a toda la poblaci</w:t>
      </w:r>
      <w:r>
        <w:rPr>
          <w:rFonts w:asciiTheme="minorHAnsi" w:hAnsiTheme="minorHAnsi" w:cstheme="minorHAnsi"/>
          <w:color w:val="0070c0"/>
          <w:highlight w:val="none"/>
        </w:rPr>
        <w:t xml:space="preserve">ón menos los grupos de riesgo que tienen sus propios </w:t>
        <w:tab/>
        <w:t xml:space="preserve">calendarios vacunales</w:t>
      </w:r>
      <w:r>
        <w:rPr>
          <w:rFonts w:asciiTheme="minorHAnsi" w:hAnsiTheme="minorHAnsi" w:cstheme="minorHAnsi"/>
          <w:color w:val="0070c0"/>
          <w:highlight w:val="none"/>
        </w:rPr>
        <w:t xml:space="preserve">. Estos calendarios los planifican </w:t>
      </w:r>
      <w:r>
        <w:rPr>
          <w:rFonts w:asciiTheme="minorHAnsi" w:hAnsiTheme="minorHAnsi" w:cstheme="minorHAnsi"/>
          <w:color w:val="0070c0"/>
          <w:highlight w:val="none"/>
        </w:rPr>
        <w:t xml:space="preserve">y los ejecutan </w:t>
      </w:r>
      <w:r>
        <w:rPr>
          <w:rFonts w:asciiTheme="minorHAnsi" w:hAnsiTheme="minorHAnsi" w:cstheme="minorHAnsi"/>
          <w:color w:val="0070c0"/>
          <w:highlight w:val="none"/>
        </w:rPr>
        <w:t xml:space="preserve">cada comunidad </w:t>
        <w:tab/>
        <w:t xml:space="preserve">autónoma, que van a hacer caso al calendario com</w:t>
      </w:r>
      <w:r>
        <w:rPr>
          <w:rFonts w:asciiTheme="minorHAnsi" w:hAnsiTheme="minorHAnsi" w:cstheme="minorHAnsi"/>
          <w:color w:val="0070c0"/>
          <w:highlight w:val="none"/>
        </w:rPr>
        <w:t xml:space="preserve">ún, pero cada una aplica sus </w:t>
        <w:tab/>
        <w:t xml:space="preserve">modificaciones tras comunicarse con su comit</w:t>
      </w:r>
      <w:r>
        <w:rPr>
          <w:rFonts w:asciiTheme="minorHAnsi" w:hAnsiTheme="minorHAnsi" w:cstheme="minorHAnsi"/>
          <w:color w:val="0070c0"/>
          <w:highlight w:val="none"/>
        </w:rPr>
        <w:t xml:space="preserve">é de </w:t>
      </w:r>
      <w:r>
        <w:rPr>
          <w:rFonts w:asciiTheme="minorHAnsi" w:hAnsiTheme="minorHAnsi" w:cstheme="minorHAnsi"/>
          <w:color w:val="0070c0"/>
          <w:highlight w:val="none"/>
        </w:rPr>
        <w:t xml:space="preserve">e</w:t>
      </w:r>
      <w:r>
        <w:rPr>
          <w:rFonts w:asciiTheme="minorHAnsi" w:hAnsiTheme="minorHAnsi" w:cstheme="minorHAnsi"/>
          <w:color w:val="0070c0"/>
          <w:highlight w:val="none"/>
        </w:rPr>
        <w:t xml:space="preserve">xpertos.</w:t>
      </w:r>
      <w:r>
        <w:rPr>
          <w:rFonts w:asciiTheme="minorHAnsi" w:hAnsiTheme="minorHAnsi" w:cstheme="minorHAnsi"/>
          <w:highlight w:val="none"/>
        </w:rPr>
      </w:r>
    </w:p>
    <w:p>
      <w:pPr>
        <w:ind w:right="645"/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  <w:highlight w:val="none"/>
        </w:rPr>
      </w:r>
    </w:p>
    <w:p>
      <w:pPr>
        <w:pStyle w:val="712"/>
        <w:numPr>
          <w:ilvl w:val="0"/>
          <w:numId w:val="2"/>
        </w:numPr>
        <w:spacing w:before="1"/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¿qué modificaciones harías en el calendario para toda la vida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 xml:space="preserve">español?</w:t>
      </w:r>
      <w:r/>
    </w:p>
    <w:p>
      <w:pPr>
        <w:pStyle w:val="712"/>
        <w:numPr>
          <w:ilvl w:val="0"/>
          <w:numId w:val="3"/>
        </w:numPr>
        <w:spacing w:before="1"/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  <w:t xml:space="preserve">Añadir vacunaci</w:t>
      </w:r>
      <w:r>
        <w:rPr>
          <w:rFonts w:asciiTheme="minorHAnsi" w:hAnsiTheme="minorHAnsi" w:cstheme="minorHAnsi"/>
          <w:color w:val="0070c0"/>
          <w:highlight w:val="none"/>
        </w:rPr>
        <w:t xml:space="preserve">ón para rotavirus por ser segura, coste/efectiva y eficaz.</w:t>
      </w:r>
      <w:r>
        <w:rPr>
          <w:rFonts w:asciiTheme="minorHAnsi" w:hAnsiTheme="minorHAnsi" w:cstheme="minorHAnsi"/>
          <w:color w:val="0070c0"/>
        </w:rPr>
      </w:r>
    </w:p>
    <w:p>
      <w:pPr>
        <w:pStyle w:val="712"/>
        <w:numPr>
          <w:ilvl w:val="0"/>
          <w:numId w:val="3"/>
        </w:numPr>
        <w:spacing w:before="1"/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Añadir vacunaci</w:t>
      </w:r>
      <w:r>
        <w:rPr>
          <w:rFonts w:asciiTheme="minorHAnsi" w:hAnsiTheme="minorHAnsi" w:cstheme="minorHAnsi"/>
          <w:color w:val="0070c0"/>
          <w:highlight w:val="none"/>
        </w:rPr>
        <w:t xml:space="preserve">ón para el </w:t>
      </w:r>
      <w:r>
        <w:rPr>
          <w:rFonts w:asciiTheme="minorHAnsi" w:hAnsiTheme="minorHAnsi" w:cstheme="minorHAnsi"/>
          <w:color w:val="0070c0"/>
          <w:highlight w:val="none"/>
        </w:rPr>
        <w:t xml:space="preserve">meningococo B por ser segura, desafortunadamente no es coste/efectiva, pero sin embargo es eficaz y adem</w:t>
      </w:r>
      <w:r>
        <w:rPr>
          <w:rFonts w:asciiTheme="minorHAnsi" w:hAnsiTheme="minorHAnsi" w:cstheme="minorHAnsi"/>
          <w:color w:val="0070c0"/>
          <w:highlight w:val="none"/>
        </w:rPr>
        <w:t xml:space="preserve">ás trae protecci</w:t>
      </w:r>
      <w:r>
        <w:rPr>
          <w:rFonts w:asciiTheme="minorHAnsi" w:hAnsiTheme="minorHAnsi" w:cstheme="minorHAnsi"/>
          <w:color w:val="0070c0"/>
          <w:highlight w:val="none"/>
        </w:rPr>
        <w:t xml:space="preserve">ón cruzada con el Men W y gonococo</w:t>
      </w:r>
      <w:r>
        <w:rPr>
          <w:rFonts w:asciiTheme="minorHAnsi" w:hAnsiTheme="minorHAnsi" w:cstheme="minorHAnsi"/>
          <w:color w:val="0070c0"/>
          <w:highlight w:val="none"/>
        </w:rPr>
        <w:t xml:space="preserve">. Es importante ya que los niños que se enferman es muy probable que mueran en poco tiempo.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3"/>
        </w:numPr>
        <w:spacing w:before="1"/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</w:rPr>
        <w:t xml:space="preserve">Incluir</w:t>
      </w:r>
      <w:r>
        <w:rPr>
          <w:rFonts w:asciiTheme="minorHAnsi" w:hAnsiTheme="minorHAnsi" w:cstheme="minorHAnsi"/>
          <w:color w:val="0070c0"/>
        </w:rPr>
        <w:t xml:space="preserve"> la vacuna de la gripe para los ni</w:t>
      </w:r>
      <w:r>
        <w:rPr>
          <w:rFonts w:asciiTheme="minorHAnsi" w:hAnsiTheme="minorHAnsi" w:cstheme="minorHAnsi"/>
          <w:color w:val="0070c0"/>
        </w:rPr>
        <w:t xml:space="preserve">ños desde los 6 meses, es segura, es coste/efectiva</w:t>
      </w:r>
      <w:r>
        <w:rPr>
          <w:rFonts w:asciiTheme="minorHAnsi" w:hAnsiTheme="minorHAnsi" w:cstheme="minorHAnsi"/>
          <w:color w:val="0070c0"/>
        </w:rPr>
        <w:t xml:space="preserve"> y trae beneficios indirectos, como protecci</w:t>
      </w:r>
      <w:r>
        <w:rPr>
          <w:rFonts w:asciiTheme="minorHAnsi" w:hAnsiTheme="minorHAnsi" w:cstheme="minorHAnsi"/>
          <w:color w:val="0070c0"/>
        </w:rPr>
        <w:t xml:space="preserve">ón para los padres/cuidadores del niño. Es eficaz en un 23-80%</w:t>
      </w:r>
      <w:r>
        <w:rPr>
          <w:rFonts w:asciiTheme="minorHAnsi" w:hAnsiTheme="minorHAnsi" w:cstheme="minorHAnsi"/>
          <w:color w:val="0070c0"/>
        </w:rPr>
      </w:r>
    </w:p>
    <w:p>
      <w:pPr>
        <w:pStyle w:val="712"/>
        <w:numPr>
          <w:ilvl w:val="0"/>
          <w:numId w:val="3"/>
        </w:numPr>
        <w:spacing w:before="1"/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Añadir la vacuna para el COVID de 5-18 años, es segura y ayuda a cortar la cadena epidemiol</w:t>
      </w:r>
      <w:r>
        <w:rPr>
          <w:rFonts w:asciiTheme="minorHAnsi" w:hAnsiTheme="minorHAnsi" w:cstheme="minorHAnsi"/>
          <w:color w:val="0070c0"/>
          <w:highlight w:val="none"/>
        </w:rPr>
        <w:t xml:space="preserve">ógica</w:t>
      </w:r>
      <w:r>
        <w:rPr>
          <w:rFonts w:asciiTheme="minorHAnsi" w:hAnsiTheme="minorHAnsi" w:cstheme="minorHAnsi"/>
          <w:color w:val="0070c0"/>
          <w:highlight w:val="none"/>
        </w:rPr>
        <w:t xml:space="preserve">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3"/>
        </w:numPr>
        <w:spacing w:before="1"/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Incluir vacunaci</w:t>
      </w:r>
      <w:r>
        <w:rPr>
          <w:rFonts w:asciiTheme="minorHAnsi" w:hAnsiTheme="minorHAnsi" w:cstheme="minorHAnsi"/>
          <w:color w:val="0070c0"/>
          <w:highlight w:val="none"/>
        </w:rPr>
        <w:t xml:space="preserve">ón de papilomavirus tambi</w:t>
      </w:r>
      <w:r>
        <w:rPr>
          <w:rFonts w:asciiTheme="minorHAnsi" w:hAnsiTheme="minorHAnsi" w:cstheme="minorHAnsi"/>
          <w:color w:val="0070c0"/>
          <w:highlight w:val="none"/>
        </w:rPr>
        <w:t xml:space="preserve">én para chicos antes de los 12 años, para evitar posibles infecciones por transmisi</w:t>
      </w:r>
      <w:r>
        <w:rPr>
          <w:rFonts w:asciiTheme="minorHAnsi" w:hAnsiTheme="minorHAnsi" w:cstheme="minorHAnsi"/>
          <w:color w:val="0070c0"/>
          <w:highlight w:val="none"/>
        </w:rPr>
        <w:t xml:space="preserve">ón sexual. Es segura, es coste/efectiva y es eficaz.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spacing w:before="1"/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2"/>
        </w:num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Enumerar los componentes de una vacuna, describirlos y explicar su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función</w:t>
      </w:r>
      <w:r/>
    </w:p>
    <w:p>
      <w:pPr>
        <w:pStyle w:val="712"/>
        <w:numPr>
          <w:ilvl w:val="0"/>
          <w:numId w:val="8"/>
        </w:num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  <w:t xml:space="preserve">Ant</w:t>
      </w:r>
      <w:r>
        <w:rPr>
          <w:rFonts w:asciiTheme="minorHAnsi" w:hAnsiTheme="minorHAnsi" w:cstheme="minorHAnsi"/>
          <w:color w:val="0070c0"/>
          <w:highlight w:val="none"/>
        </w:rPr>
        <w:t xml:space="preserve">ígeno vacunal → porci</w:t>
      </w:r>
      <w:r>
        <w:rPr>
          <w:rFonts w:asciiTheme="minorHAnsi" w:hAnsiTheme="minorHAnsi" w:cstheme="minorHAnsi"/>
          <w:color w:val="0070c0"/>
          <w:highlight w:val="none"/>
        </w:rPr>
        <w:t xml:space="preserve">ón ínfima o versi</w:t>
      </w:r>
      <w:r>
        <w:rPr>
          <w:rFonts w:asciiTheme="minorHAnsi" w:hAnsiTheme="minorHAnsi" w:cstheme="minorHAnsi"/>
          <w:color w:val="0070c0"/>
          <w:highlight w:val="none"/>
        </w:rPr>
        <w:t xml:space="preserve">ón atenuada causante de la enfermedad, de modo que el cuerpo pueda crear anticuerpos frente a </w:t>
      </w:r>
      <w:r>
        <w:rPr>
          <w:rFonts w:asciiTheme="minorHAnsi" w:hAnsiTheme="minorHAnsi" w:cstheme="minorHAnsi"/>
          <w:color w:val="0070c0"/>
          <w:highlight w:val="none"/>
        </w:rPr>
        <w:t xml:space="preserve">él de manera segura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8"/>
        </w:num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Conservantes → impiden que la vacuna se contamine cuando se abre un vial que se utilizar</w:t>
      </w:r>
      <w:r>
        <w:rPr>
          <w:rFonts w:asciiTheme="minorHAnsi" w:hAnsiTheme="minorHAnsi" w:cstheme="minorHAnsi"/>
          <w:color w:val="0070c0"/>
          <w:highlight w:val="none"/>
        </w:rPr>
        <w:t xml:space="preserve">á para vacunar a m</w:t>
      </w:r>
      <w:r>
        <w:rPr>
          <w:rFonts w:asciiTheme="minorHAnsi" w:hAnsiTheme="minorHAnsi" w:cstheme="minorHAnsi"/>
          <w:color w:val="0070c0"/>
          <w:highlight w:val="none"/>
        </w:rPr>
        <w:t xml:space="preserve">ás de una persona. Los m</w:t>
      </w:r>
      <w:r>
        <w:rPr>
          <w:rFonts w:asciiTheme="minorHAnsi" w:hAnsiTheme="minorHAnsi" w:cstheme="minorHAnsi"/>
          <w:color w:val="0070c0"/>
          <w:highlight w:val="none"/>
        </w:rPr>
        <w:t xml:space="preserve">ás usados son el fenoxietanol, el fenol y el tiomersal-Hg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8"/>
        </w:num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Estabilizantes → impiden que se produzcan reacciones qu</w:t>
      </w:r>
      <w:r>
        <w:rPr>
          <w:rFonts w:asciiTheme="minorHAnsi" w:hAnsiTheme="minorHAnsi" w:cstheme="minorHAnsi"/>
          <w:color w:val="0070c0"/>
          <w:highlight w:val="none"/>
        </w:rPr>
        <w:t xml:space="preserve">ímicas en la vacuna y evitan que los componentes de la vacuna se adhieran al vial. Estos pueden ser aa, Gl</w:t>
      </w:r>
      <w:r>
        <w:rPr>
          <w:rFonts w:asciiTheme="minorHAnsi" w:hAnsiTheme="minorHAnsi" w:cstheme="minorHAnsi"/>
          <w:color w:val="0070c0"/>
          <w:highlight w:val="none"/>
        </w:rPr>
        <w:t xml:space="preserve">úcidos y Ab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8"/>
        </w:num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Residuos de manufacturaci</w:t>
      </w:r>
      <w:r>
        <w:rPr>
          <w:rFonts w:asciiTheme="minorHAnsi" w:hAnsiTheme="minorHAnsi" w:cstheme="minorHAnsi"/>
          <w:color w:val="0070c0"/>
          <w:highlight w:val="none"/>
        </w:rPr>
        <w:t xml:space="preserve">ón → </w:t>
      </w:r>
      <w:r>
        <w:rPr>
          <w:rFonts w:asciiTheme="minorHAnsi" w:hAnsiTheme="minorHAnsi" w:cstheme="minorHAnsi"/>
          <w:color w:val="0070c0"/>
          <w:highlight w:val="none"/>
        </w:rPr>
        <w:t xml:space="preserve">ínfimas cantidades de diversas sustancias utilizadas durante la </w:t>
      </w:r>
      <w:r>
        <w:rPr>
          <w:rFonts w:asciiTheme="minorHAnsi" w:hAnsiTheme="minorHAnsi" w:cstheme="minorHAnsi"/>
          <w:color w:val="0070c0"/>
          <w:highlight w:val="none"/>
        </w:rPr>
        <w:t xml:space="preserve">producci</w:t>
      </w:r>
      <w:r>
        <w:rPr>
          <w:rFonts w:asciiTheme="minorHAnsi" w:hAnsiTheme="minorHAnsi" w:cstheme="minorHAnsi"/>
          <w:color w:val="0070c0"/>
          <w:highlight w:val="none"/>
        </w:rPr>
        <w:t xml:space="preserve">ón de la vacuna.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8"/>
        </w:num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Coadyuvantes → potenciadores del ant</w:t>
      </w:r>
      <w:r>
        <w:rPr>
          <w:rFonts w:asciiTheme="minorHAnsi" w:hAnsiTheme="minorHAnsi" w:cstheme="minorHAnsi"/>
          <w:color w:val="0070c0"/>
          <w:highlight w:val="none"/>
        </w:rPr>
        <w:t xml:space="preserve">ígeno para una mayor respuesta inmunitaria. Forma dep</w:t>
      </w:r>
      <w:r>
        <w:rPr>
          <w:rFonts w:asciiTheme="minorHAnsi" w:hAnsiTheme="minorHAnsi" w:cstheme="minorHAnsi"/>
          <w:color w:val="0070c0"/>
          <w:highlight w:val="none"/>
        </w:rPr>
        <w:t xml:space="preserve">ósitos para una liberaci</w:t>
      </w:r>
      <w:r>
        <w:rPr>
          <w:rFonts w:asciiTheme="minorHAnsi" w:hAnsiTheme="minorHAnsi" w:cstheme="minorHAnsi"/>
          <w:color w:val="0070c0"/>
          <w:highlight w:val="none"/>
        </w:rPr>
        <w:t xml:space="preserve">ón enlentecidas, produce señal coestimuladora de CPA e induce a la producci</w:t>
      </w:r>
      <w:r>
        <w:rPr>
          <w:rFonts w:asciiTheme="minorHAnsi" w:hAnsiTheme="minorHAnsi" w:cstheme="minorHAnsi"/>
          <w:color w:val="0070c0"/>
          <w:highlight w:val="none"/>
        </w:rPr>
        <w:t xml:space="preserve">ón de citoquinas. Pueden ser del tipo: sales minerales (las de aluminio), microbiologicas (exotoxinas bacterianas), particulados (liposomas), emulsiones oleosas (optimizaci</w:t>
      </w:r>
      <w:r>
        <w:rPr>
          <w:rFonts w:asciiTheme="minorHAnsi" w:hAnsiTheme="minorHAnsi" w:cstheme="minorHAnsi"/>
          <w:color w:val="0070c0"/>
          <w:highlight w:val="none"/>
        </w:rPr>
        <w:t xml:space="preserve">ón del an</w:t>
      </w:r>
      <w:r>
        <w:rPr>
          <w:rFonts w:asciiTheme="minorHAnsi" w:hAnsiTheme="minorHAnsi" w:cstheme="minorHAnsi"/>
          <w:color w:val="0070c0"/>
          <w:highlight w:val="none"/>
        </w:rPr>
        <w:t xml:space="preserve">t</w:t>
      </w:r>
      <w:r>
        <w:rPr>
          <w:rFonts w:asciiTheme="minorHAnsi" w:hAnsiTheme="minorHAnsi" w:cstheme="minorHAnsi"/>
          <w:color w:val="0070c0"/>
          <w:highlight w:val="none"/>
        </w:rPr>
        <w:t xml:space="preserve">ígeno)</w:t>
      </w:r>
      <w:r>
        <w:rPr>
          <w:rFonts w:asciiTheme="minorHAnsi" w:hAnsiTheme="minorHAnsi" w:cstheme="minorHAnsi"/>
          <w:color w:val="0070c0"/>
          <w:highlight w:val="none"/>
        </w:rPr>
        <w:t xml:space="preserve">, sint</w:t>
      </w:r>
      <w:r>
        <w:rPr>
          <w:rFonts w:asciiTheme="minorHAnsi" w:hAnsiTheme="minorHAnsi" w:cstheme="minorHAnsi"/>
          <w:color w:val="0070c0"/>
          <w:highlight w:val="none"/>
        </w:rPr>
        <w:t xml:space="preserve">éticos (derivados del muramil)</w:t>
      </w:r>
      <w:r>
        <w:rPr>
          <w:rFonts w:asciiTheme="minorHAnsi" w:hAnsiTheme="minorHAnsi" w:cstheme="minorHAnsi"/>
          <w:color w:val="0070c0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  <w:highlight w:val="none"/>
        </w:rPr>
      </w:r>
    </w:p>
    <w:p>
      <w:pPr>
        <w:pStyle w:val="712"/>
        <w:numPr>
          <w:ilvl w:val="0"/>
          <w:numId w:val="2"/>
        </w:num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¿qué contraindicaciones existen en la administración de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vacunas?</w:t>
      </w:r>
      <w:r/>
    </w:p>
    <w:p>
      <w:pPr>
        <w:pStyle w:val="712"/>
        <w:numPr>
          <w:ilvl w:val="0"/>
          <w:numId w:val="9"/>
        </w:num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  <w:color w:val="0070c0"/>
        </w:rPr>
        <w:t xml:space="preserve">En el curso de enfermedades infecciosas y durante su periodo de convalecencia no es recomendada la vacunaci</w:t>
      </w:r>
      <w:r>
        <w:rPr>
          <w:rFonts w:asciiTheme="minorHAnsi" w:hAnsiTheme="minorHAnsi" w:cstheme="minorHAnsi"/>
          <w:color w:val="0070c0"/>
        </w:rPr>
        <w:t xml:space="preserve">ón porque supondr</w:t>
      </w:r>
      <w:r>
        <w:rPr>
          <w:rFonts w:asciiTheme="minorHAnsi" w:hAnsiTheme="minorHAnsi" w:cstheme="minorHAnsi"/>
          <w:color w:val="0070c0"/>
        </w:rPr>
        <w:t xml:space="preserve">ía una sobrecarga del sistema inmune</w:t>
      </w:r>
      <w:r>
        <w:rPr>
          <w:rFonts w:asciiTheme="minorHAnsi" w:hAnsiTheme="minorHAnsi" w:cstheme="minorHAnsi"/>
          <w:color w:val="0070c0"/>
        </w:rPr>
      </w:r>
    </w:p>
    <w:p>
      <w:pPr>
        <w:pStyle w:val="712"/>
        <w:numPr>
          <w:ilvl w:val="0"/>
          <w:numId w:val="9"/>
        </w:num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En enfermedades cr</w:t>
      </w:r>
      <w:r>
        <w:rPr>
          <w:rFonts w:asciiTheme="minorHAnsi" w:hAnsiTheme="minorHAnsi" w:cstheme="minorHAnsi"/>
          <w:color w:val="0070c0"/>
          <w:highlight w:val="none"/>
        </w:rPr>
        <w:t xml:space="preserve">ónicas en situaciones de descompensaci</w:t>
      </w:r>
      <w:r>
        <w:rPr>
          <w:rFonts w:asciiTheme="minorHAnsi" w:hAnsiTheme="minorHAnsi" w:cstheme="minorHAnsi"/>
          <w:color w:val="0070c0"/>
          <w:highlight w:val="none"/>
        </w:rPr>
        <w:t xml:space="preserve">ón aguda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9"/>
        </w:num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Niños con trastornos neurol</w:t>
      </w:r>
      <w:r>
        <w:rPr>
          <w:rFonts w:asciiTheme="minorHAnsi" w:hAnsiTheme="minorHAnsi" w:cstheme="minorHAnsi"/>
          <w:color w:val="0070c0"/>
          <w:highlight w:val="none"/>
        </w:rPr>
        <w:t xml:space="preserve">ógicos evolutivos no usar la 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9"/>
        </w:num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Alergias a componentes de la vacuna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9"/>
        </w:num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  <w:t xml:space="preserve">No vacunas vivas a embarazadas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9"/>
        </w:num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  <w:t xml:space="preserve">Para sujetos con VIH</w:t>
      </w:r>
      <w:r>
        <w:rPr>
          <w:rFonts w:asciiTheme="minorHAnsi" w:hAnsiTheme="minorHAnsi" w:cstheme="minorHAnsi"/>
          <w:color w:val="0070c0"/>
          <w:highlight w:val="none"/>
        </w:rPr>
        <w:t xml:space="preserve"> no darle vacunas atenuadas, excepto la triple vírica y varicela si el paciente no tiene ID grave.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  <w:highlight w:val="none"/>
        </w:rPr>
      </w:r>
    </w:p>
    <w:p>
      <w:pPr>
        <w:pStyle w:val="712"/>
        <w:numPr>
          <w:ilvl w:val="0"/>
          <w:numId w:val="2"/>
        </w:num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Postura frente a la obligatoriedad o no de administrar vacunas. Fundamentar la</w:t>
      </w:r>
      <w:r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</w:rPr>
        <w:t xml:space="preserve">decisión</w:t>
      </w: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  <w:color w:val="0070c0"/>
          <w:highlight w:val="none"/>
        </w:rPr>
      </w:pPr>
      <w:r>
        <w:rPr>
          <w:rFonts w:asciiTheme="minorHAnsi" w:hAnsiTheme="minorHAnsi" w:cstheme="minorHAnsi"/>
          <w:highlight w:val="none"/>
        </w:rPr>
        <w:tab/>
      </w:r>
      <w:r>
        <w:rPr>
          <w:rFonts w:asciiTheme="minorHAnsi" w:hAnsiTheme="minorHAnsi" w:cstheme="minorHAnsi"/>
          <w:color w:val="0070c0"/>
          <w:highlight w:val="none"/>
        </w:rPr>
        <w:t xml:space="preserve">Creo que no obstante la gran mayor</w:t>
      </w:r>
      <w:r>
        <w:rPr>
          <w:rFonts w:asciiTheme="minorHAnsi" w:hAnsiTheme="minorHAnsi" w:cstheme="minorHAnsi"/>
          <w:color w:val="0070c0"/>
          <w:highlight w:val="none"/>
        </w:rPr>
        <w:t xml:space="preserve">ía de vacunas </w:t>
      </w:r>
      <w:r>
        <w:rPr>
          <w:rFonts w:asciiTheme="minorHAnsi" w:hAnsiTheme="minorHAnsi" w:cstheme="minorHAnsi"/>
          <w:color w:val="0070c0"/>
          <w:highlight w:val="none"/>
        </w:rPr>
        <w:t xml:space="preserve">sean efectivas y seguras y nos han ayudado </w:t>
        <w:tab/>
        <w:t xml:space="preserve">mucho a </w:t>
      </w:r>
      <w:r>
        <w:rPr>
          <w:rFonts w:asciiTheme="minorHAnsi" w:hAnsiTheme="minorHAnsi" w:cstheme="minorHAnsi"/>
          <w:color w:val="0070c0"/>
          <w:highlight w:val="none"/>
        </w:rPr>
        <w:t xml:space="preserve">lo largo de la historia, no creo que deban ser obligatorias. En general no soy partidario de </w:t>
        <w:tab/>
        <w:t xml:space="preserve">la obligatoriedad y creo que es mejor dejar la libertad de elecci</w:t>
      </w:r>
      <w:r>
        <w:rPr>
          <w:rFonts w:asciiTheme="minorHAnsi" w:hAnsiTheme="minorHAnsi" w:cstheme="minorHAnsi"/>
          <w:color w:val="0070c0"/>
          <w:highlight w:val="none"/>
        </w:rPr>
        <w:t xml:space="preserve">ón para cada uno. Lo importante </w:t>
        <w:tab/>
        <w:t xml:space="preserve">ser</w:t>
      </w:r>
      <w:r>
        <w:rPr>
          <w:rFonts w:asciiTheme="minorHAnsi" w:hAnsiTheme="minorHAnsi" w:cstheme="minorHAnsi"/>
          <w:color w:val="0070c0"/>
          <w:highlight w:val="none"/>
        </w:rPr>
        <w:t xml:space="preserve">ía informar e incentivar lo m</w:t>
      </w:r>
      <w:r>
        <w:rPr>
          <w:rFonts w:asciiTheme="minorHAnsi" w:hAnsiTheme="minorHAnsi" w:cstheme="minorHAnsi"/>
          <w:color w:val="0070c0"/>
          <w:highlight w:val="none"/>
        </w:rPr>
        <w:t xml:space="preserve">áximo posible </w:t>
      </w:r>
      <w:r>
        <w:rPr>
          <w:rFonts w:asciiTheme="minorHAnsi" w:hAnsiTheme="minorHAnsi" w:cstheme="minorHAnsi"/>
          <w:color w:val="0070c0"/>
          <w:highlight w:val="none"/>
        </w:rPr>
        <w:t xml:space="preserve">pero no llegar a la obligaci</w:t>
      </w:r>
      <w:r>
        <w:rPr>
          <w:rFonts w:asciiTheme="minorHAnsi" w:hAnsiTheme="minorHAnsi" w:cstheme="minorHAnsi"/>
          <w:color w:val="0070c0"/>
          <w:highlight w:val="none"/>
        </w:rPr>
        <w:t xml:space="preserve">ón, porque haciéndolo se </w:t>
        <w:tab/>
        <w:t xml:space="preserve">estar</w:t>
      </w:r>
      <w:r>
        <w:rPr>
          <w:rFonts w:asciiTheme="minorHAnsi" w:hAnsiTheme="minorHAnsi" w:cstheme="minorHAnsi"/>
          <w:color w:val="0070c0"/>
          <w:highlight w:val="none"/>
        </w:rPr>
        <w:t xml:space="preserve">ía quitando el derecho de poder elegir. Adem</w:t>
      </w:r>
      <w:r>
        <w:rPr>
          <w:rFonts w:asciiTheme="minorHAnsi" w:hAnsiTheme="minorHAnsi" w:cstheme="minorHAnsi"/>
          <w:color w:val="0070c0"/>
          <w:highlight w:val="none"/>
        </w:rPr>
        <w:t xml:space="preserve">ás hay grupos de personas que por la raz</w:t>
      </w:r>
      <w:r>
        <w:rPr>
          <w:rFonts w:asciiTheme="minorHAnsi" w:hAnsiTheme="minorHAnsi" w:cstheme="minorHAnsi"/>
          <w:color w:val="0070c0"/>
          <w:highlight w:val="none"/>
        </w:rPr>
        <w:t xml:space="preserve">ón que </w:t>
        <w:tab/>
        <w:t xml:space="preserve">sea, sean antivacunas o no, no quieren vacunarse o no pueden directamente, creo que pese a que </w:t>
        <w:tab/>
        <w:t xml:space="preserve">no piensen o no se comporten como la mayor</w:t>
      </w:r>
      <w:r>
        <w:rPr>
          <w:rFonts w:asciiTheme="minorHAnsi" w:hAnsiTheme="minorHAnsi" w:cstheme="minorHAnsi"/>
          <w:color w:val="0070c0"/>
          <w:highlight w:val="none"/>
        </w:rPr>
        <w:t xml:space="preserve">ía habr</w:t>
      </w:r>
      <w:r>
        <w:rPr>
          <w:rFonts w:asciiTheme="minorHAnsi" w:hAnsiTheme="minorHAnsi" w:cstheme="minorHAnsi"/>
          <w:color w:val="0070c0"/>
          <w:highlight w:val="none"/>
        </w:rPr>
        <w:t xml:space="preserve">ía que ser</w:t>
      </w:r>
      <w:r>
        <w:rPr>
          <w:rFonts w:asciiTheme="minorHAnsi" w:hAnsiTheme="minorHAnsi" w:cstheme="minorHAnsi"/>
          <w:color w:val="0070c0"/>
          <w:highlight w:val="none"/>
        </w:rPr>
        <w:t xml:space="preserve"> emp</w:t>
      </w:r>
      <w:r>
        <w:rPr>
          <w:rFonts w:asciiTheme="minorHAnsi" w:hAnsiTheme="minorHAnsi" w:cstheme="minorHAnsi"/>
          <w:color w:val="0070c0"/>
          <w:highlight w:val="none"/>
        </w:rPr>
        <w:t xml:space="preserve">á</w:t>
      </w:r>
      <w:r>
        <w:rPr>
          <w:rFonts w:asciiTheme="minorHAnsi" w:hAnsiTheme="minorHAnsi" w:cstheme="minorHAnsi"/>
          <w:color w:val="0070c0"/>
          <w:highlight w:val="none"/>
        </w:rPr>
        <w:t xml:space="preserve">ticos con ellos y entender su </w:t>
        <w:tab/>
        <w:t xml:space="preserve">punto de vista</w:t>
      </w:r>
      <w:r>
        <w:rPr>
          <w:rFonts w:asciiTheme="minorHAnsi" w:hAnsiTheme="minorHAnsi" w:cstheme="minorHAnsi"/>
          <w:color w:val="0070c0"/>
          <w:highlight w:val="none"/>
        </w:rPr>
        <w:t xml:space="preserve">.</w:t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tabs>
          <w:tab w:val="left" w:pos="834" w:leader="none"/>
        </w:tabs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highlight w:val="none"/>
        </w:rPr>
      </w:r>
      <w:r>
        <w:rPr>
          <w:rFonts w:asciiTheme="minorHAnsi" w:hAnsiTheme="minorHAnsi" w:cstheme="minorHAnsi"/>
          <w:color w:val="0070c0"/>
          <w:highlight w:val="none"/>
        </w:rPr>
      </w:r>
    </w:p>
    <w:p>
      <w:pPr>
        <w:pStyle w:val="712"/>
        <w:numPr>
          <w:ilvl w:val="0"/>
          <w:numId w:val="2"/>
        </w:numPr>
        <w:tabs>
          <w:tab w:val="left" w:pos="8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¿cuál es la efectividad de las vacunas anti COVID? ¿cuáles son las estrategias</w:t>
      </w:r>
      <w:r>
        <w:rPr>
          <w:rFonts w:asciiTheme="minorHAnsi" w:hAnsiTheme="minorHAnsi" w:cstheme="minorHAnsi"/>
          <w:spacing w:val="-15"/>
        </w:rPr>
        <w:t xml:space="preserve"> </w:t>
      </w:r>
      <w:r>
        <w:rPr>
          <w:rFonts w:asciiTheme="minorHAnsi" w:hAnsiTheme="minorHAnsi" w:cstheme="minorHAnsi"/>
        </w:rPr>
        <w:t xml:space="preserve">vacunales?</w:t>
      </w:r>
      <w:r/>
    </w:p>
    <w:p>
      <w:pPr>
        <w:pStyle w:val="711"/>
        <w:ind w:left="0" w:firstLine="0"/>
        <w:rPr>
          <w:rFonts w:asciiTheme="minorHAnsi" w:hAnsiTheme="minorHAnsi" w:cstheme="minorHAnsi"/>
          <w:color w:val="0070c0"/>
          <w:sz w:val="22"/>
          <w:szCs w:val="22"/>
          <w:highlight w:val="none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La vacuna ha sido eficaz para bajar las muertes, pero no tanto los contagios, ha evitado que la gente </w:t>
        <w:tab/>
        <w:t xml:space="preserve">entre en tratamiento intensivo.</w:t>
      </w:r>
      <w:r>
        <w:rPr>
          <w:rFonts w:asciiTheme="minorHAnsi" w:hAnsiTheme="minorHAnsi" w:cstheme="minorHAnsi"/>
          <w:color w:val="0070c0"/>
          <w:sz w:val="22"/>
          <w:szCs w:val="22"/>
          <w:highlight w:val="none"/>
        </w:rPr>
      </w:r>
    </w:p>
    <w:p>
      <w:pPr>
        <w:pStyle w:val="711"/>
        <w:ind w:left="0" w:firstLine="0"/>
        <w:rPr>
          <w:rFonts w:asciiTheme="minorHAnsi" w:hAnsiTheme="minorHAnsi" w:cstheme="minorHAnsi"/>
          <w:color w:val="0070c0"/>
          <w:sz w:val="22"/>
          <w:szCs w:val="22"/>
          <w:highlight w:val="none"/>
        </w:rPr>
      </w:pPr>
      <w:r>
        <w:rPr>
          <w:rFonts w:asciiTheme="minorHAnsi" w:hAnsiTheme="minorHAnsi" w:cstheme="minorHAnsi"/>
          <w:color w:val="0070c0"/>
          <w:sz w:val="22"/>
          <w:szCs w:val="22"/>
          <w:highlight w:val="none"/>
        </w:rPr>
        <w:tab/>
        <w:t xml:space="preserve">Completar primovacunaci</w:t>
      </w:r>
      <w:r>
        <w:rPr>
          <w:rFonts w:asciiTheme="minorHAnsi" w:hAnsiTheme="minorHAnsi" w:cstheme="minorHAnsi"/>
          <w:color w:val="0070c0"/>
          <w:sz w:val="22"/>
          <w:szCs w:val="22"/>
          <w:highlight w:val="none"/>
        </w:rPr>
        <w:t xml:space="preserve">ón en todos los grupos de edad y administrar dosis de recuerdo para </w:t>
        <w:tab/>
        <w:t xml:space="preserve">residencias de mayores, personas mayores de 40 años, personal sanitario, personas vacunadas con </w:t>
        <w:tab/>
        <w:t xml:space="preserve">J&amp;J y personas del Grupo 7</w:t>
      </w:r>
      <w:r>
        <w:rPr>
          <w:rFonts w:asciiTheme="minorHAnsi" w:hAnsiTheme="minorHAnsi" w:cstheme="minorHAnsi"/>
          <w:color w:val="0070c0"/>
          <w:sz w:val="22"/>
          <w:szCs w:val="22"/>
          <w:highlight w:val="none"/>
        </w:rPr>
      </w:r>
    </w:p>
    <w:p>
      <w:pPr>
        <w:pStyle w:val="711"/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>
      <w:pPr>
        <w:pStyle w:val="711"/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highlight w:val="none"/>
        </w:rPr>
      </w:r>
      <w:r>
        <w:rPr>
          <w:rFonts w:asciiTheme="minorHAnsi" w:hAnsiTheme="minorHAnsi" w:cstheme="minorHAnsi"/>
          <w:sz w:val="22"/>
          <w:szCs w:val="22"/>
          <w:highlight w:val="none"/>
        </w:rPr>
      </w:r>
    </w:p>
    <w:p>
      <w:pPr>
        <w:pStyle w:val="711"/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</w:r>
      <w:r/>
    </w:p>
    <w:p>
      <w:pPr>
        <w:ind w:left="11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Recursos de información.</w:t>
      </w:r>
      <w:r/>
    </w:p>
    <w:p>
      <w:pPr>
        <w:pStyle w:val="712"/>
        <w:numPr>
          <w:ilvl w:val="0"/>
          <w:numId w:val="1"/>
        </w:numPr>
        <w:ind w:hanging="218"/>
        <w:spacing w:before="1"/>
        <w:tabs>
          <w:tab w:val="left" w:pos="331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Salleras</w:t>
      </w:r>
      <w:r>
        <w:rPr>
          <w:rFonts w:asciiTheme="minorHAnsi" w:hAnsiTheme="minorHAnsi" w:cstheme="minorHAnsi"/>
        </w:rPr>
        <w:t xml:space="preserve"> Ll. Vacunaciones preventivas. 2ª edición. Ed. Masson. Barcelona</w:t>
      </w:r>
      <w:r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</w:rPr>
        <w:t xml:space="preserve">2003.</w:t>
      </w:r>
      <w:r/>
    </w:p>
    <w:p>
      <w:pPr>
        <w:pStyle w:val="712"/>
        <w:numPr>
          <w:ilvl w:val="0"/>
          <w:numId w:val="1"/>
        </w:numPr>
        <w:ind w:hanging="218"/>
        <w:spacing w:before="38"/>
        <w:tabs>
          <w:tab w:val="left" w:pos="331" w:leader="none"/>
        </w:tabs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Plotkin SA Orenstein WA. Vaccines. 7th ed. Ed. Saunders. </w:t>
      </w:r>
      <w:r>
        <w:rPr>
          <w:rFonts w:asciiTheme="minorHAnsi" w:hAnsiTheme="minorHAnsi" w:cstheme="minorHAnsi"/>
          <w:lang w:val="en-US"/>
        </w:rPr>
        <w:t xml:space="preserve">Filadelfia</w:t>
      </w:r>
      <w:r>
        <w:rPr>
          <w:rFonts w:asciiTheme="minorHAnsi" w:hAnsiTheme="minorHAnsi" w:cstheme="minorHAnsi"/>
          <w:lang w:val="en-US"/>
        </w:rPr>
        <w:t xml:space="preserve">.</w:t>
      </w:r>
      <w:r>
        <w:rPr>
          <w:rFonts w:asciiTheme="minorHAnsi" w:hAnsiTheme="minorHAnsi" w:cstheme="minorHAnsi"/>
          <w:spacing w:val="-14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2017</w:t>
      </w:r>
      <w:r/>
    </w:p>
    <w:p>
      <w:pPr>
        <w:pStyle w:val="712"/>
        <w:numPr>
          <w:ilvl w:val="0"/>
          <w:numId w:val="1"/>
        </w:numPr>
        <w:ind w:hanging="218"/>
        <w:spacing w:before="39"/>
        <w:tabs>
          <w:tab w:val="left" w:pos="331" w:leader="none"/>
        </w:tabs>
        <w:rPr>
          <w:rFonts w:asciiTheme="minorHAnsi" w:hAnsiTheme="minorHAnsi" w:cstheme="minorHAnsi"/>
        </w:rPr>
      </w:pPr>
      <w:r/>
      <w:hyperlink r:id="rId15" w:tooltip="http://www.vacunas.org/" w:history="1">
        <w:r>
          <w:rPr>
            <w:rFonts w:asciiTheme="minorHAnsi" w:hAnsiTheme="minorHAnsi" w:cstheme="minorHAnsi"/>
          </w:rPr>
          <w:t xml:space="preserve">www.vacunas.org</w:t>
        </w:r>
      </w:hyperlink>
      <w:r>
        <w:rPr>
          <w:rFonts w:asciiTheme="minorHAnsi" w:hAnsiTheme="minorHAnsi" w:cstheme="minorHAnsi"/>
        </w:rPr>
        <w:t xml:space="preserve"> </w:t>
      </w:r>
      <w:r/>
    </w:p>
    <w:p>
      <w:pPr>
        <w:pStyle w:val="712"/>
        <w:numPr>
          <w:ilvl w:val="0"/>
          <w:numId w:val="1"/>
        </w:numPr>
        <w:ind w:hanging="218"/>
        <w:spacing w:before="39"/>
        <w:tabs>
          <w:tab w:val="left" w:pos="331" w:leader="none"/>
        </w:tabs>
        <w:rPr>
          <w:rFonts w:asciiTheme="minorHAnsi" w:hAnsiTheme="minorHAnsi" w:cstheme="minorHAnsi"/>
        </w:rPr>
      </w:pPr>
      <w:r/>
      <w:hyperlink r:id="rId16" w:tooltip="http://www.msc.es/profesonales/saludpublica/prevencionypromocion" w:history="1">
        <w:r>
          <w:rPr>
            <w:rFonts w:asciiTheme="minorHAnsi" w:hAnsiTheme="minorHAnsi" w:cstheme="minorHAnsi"/>
          </w:rPr>
          <w:t xml:space="preserve">www.msc.es/profesonales/saludpublica/prevencionypromocion</w:t>
        </w:r>
      </w:hyperlink>
      <w:r/>
      <w:r/>
    </w:p>
    <w:p>
      <w:pPr>
        <w:pStyle w:val="712"/>
        <w:numPr>
          <w:ilvl w:val="0"/>
          <w:numId w:val="1"/>
        </w:numPr>
        <w:ind w:hanging="218"/>
        <w:spacing w:before="39"/>
        <w:tabs>
          <w:tab w:val="left" w:pos="331" w:leader="none"/>
        </w:tabs>
        <w:rPr>
          <w:rFonts w:asciiTheme="minorHAnsi" w:hAnsiTheme="minorHAnsi" w:cstheme="minorHAnsi"/>
        </w:rPr>
      </w:pPr>
      <w:r/>
      <w:hyperlink r:id="rId17" w:tooltip="http://www.fisterra.com/vacunas" w:history="1">
        <w:r>
          <w:rPr>
            <w:rFonts w:asciiTheme="minorHAnsi" w:hAnsiTheme="minorHAnsi" w:cstheme="minorHAnsi"/>
          </w:rPr>
          <w:t xml:space="preserve">www.fisterra.com/vacunas</w:t>
        </w:r>
      </w:hyperlink>
      <w:r/>
      <w:r/>
    </w:p>
    <w:p>
      <w:pPr>
        <w:pStyle w:val="712"/>
        <w:numPr>
          <w:ilvl w:val="0"/>
          <w:numId w:val="1"/>
        </w:numPr>
        <w:ind w:hanging="218"/>
        <w:spacing w:before="38"/>
        <w:tabs>
          <w:tab w:val="left" w:pos="331" w:leader="none"/>
        </w:tabs>
        <w:rPr>
          <w:rFonts w:asciiTheme="minorHAnsi" w:hAnsiTheme="minorHAnsi" w:cstheme="minorHAnsi"/>
        </w:rPr>
      </w:pPr>
      <w:r/>
      <w:hyperlink r:id="rId18" w:tooltip="http://www.euvac.net/" w:history="1">
        <w:r>
          <w:rPr>
            <w:rFonts w:asciiTheme="minorHAnsi" w:hAnsiTheme="minorHAnsi" w:cstheme="minorHAnsi"/>
          </w:rPr>
          <w:t xml:space="preserve">www.euvac.net</w:t>
        </w:r>
      </w:hyperlink>
      <w:r/>
      <w:r/>
    </w:p>
    <w:p>
      <w:pPr>
        <w:pStyle w:val="712"/>
        <w:numPr>
          <w:ilvl w:val="0"/>
          <w:numId w:val="1"/>
        </w:numPr>
        <w:ind w:hanging="218"/>
        <w:spacing w:before="41"/>
        <w:tabs>
          <w:tab w:val="left" w:pos="331" w:leader="none"/>
        </w:tabs>
        <w:rPr>
          <w:rFonts w:asciiTheme="minorHAnsi" w:hAnsiTheme="minorHAnsi" w:cstheme="minorHAnsi"/>
        </w:rPr>
      </w:pPr>
      <w:r/>
      <w:hyperlink r:id="rId19" w:tooltip="http://ecdc.europa.eu/en/pages/home.aspx" w:history="1">
        <w:r>
          <w:rPr>
            <w:rFonts w:asciiTheme="minorHAnsi" w:hAnsiTheme="minorHAnsi" w:cstheme="minorHAnsi"/>
          </w:rPr>
          <w:t xml:space="preserve">http://ecdc.europa.eu/en/pages/home.aspx</w:t>
        </w:r>
      </w:hyperlink>
      <w:r>
        <w:rPr>
          <w:rFonts w:asciiTheme="minorHAnsi" w:hAnsiTheme="minorHAnsi" w:cstheme="minorHAnsi"/>
        </w:rPr>
        <w:t xml:space="preserve"> </w:t>
      </w:r>
      <w:r/>
    </w:p>
    <w:p>
      <w:pPr>
        <w:pStyle w:val="712"/>
        <w:numPr>
          <w:ilvl w:val="0"/>
          <w:numId w:val="1"/>
        </w:numPr>
        <w:ind w:hanging="218"/>
        <w:spacing w:before="39"/>
        <w:tabs>
          <w:tab w:val="left" w:pos="331" w:leader="none"/>
        </w:tabs>
        <w:rPr>
          <w:rFonts w:asciiTheme="minorHAnsi" w:hAnsiTheme="minorHAnsi" w:cstheme="minorHAnsi"/>
        </w:rPr>
      </w:pPr>
      <w:r/>
      <w:hyperlink r:id="rId20" w:tooltip="http://www.vaccinealliance.org/" w:history="1">
        <w:r>
          <w:rPr>
            <w:rFonts w:asciiTheme="minorHAnsi" w:hAnsiTheme="minorHAnsi" w:cstheme="minorHAnsi"/>
          </w:rPr>
          <w:t xml:space="preserve">www.vaccinealliance.org</w:t>
        </w:r>
      </w:hyperlink>
      <w:r/>
      <w:r/>
    </w:p>
    <w:p>
      <w:pPr>
        <w:pStyle w:val="712"/>
        <w:numPr>
          <w:ilvl w:val="0"/>
          <w:numId w:val="1"/>
        </w:numPr>
        <w:ind w:left="331"/>
        <w:spacing w:before="39"/>
        <w:tabs>
          <w:tab w:val="left" w:pos="332" w:leader="none"/>
        </w:tabs>
        <w:rPr>
          <w:rFonts w:asciiTheme="minorHAnsi" w:hAnsiTheme="minorHAnsi" w:cstheme="minorHAnsi"/>
        </w:rPr>
      </w:pPr>
      <w:r/>
      <w:hyperlink r:id="rId21" w:tooltip="http://www.cdc.gov/" w:history="1">
        <w:r>
          <w:rPr>
            <w:rFonts w:asciiTheme="minorHAnsi" w:hAnsiTheme="minorHAnsi" w:cstheme="minorHAnsi"/>
            <w:color w:val="0000ff"/>
            <w:u w:val="single"/>
          </w:rPr>
          <w:t xml:space="preserve">www.cdc.gov</w:t>
        </w:r>
      </w:hyperlink>
      <w:r/>
      <w:r/>
    </w:p>
    <w:p>
      <w:pPr>
        <w:pStyle w:val="712"/>
        <w:numPr>
          <w:ilvl w:val="0"/>
          <w:numId w:val="1"/>
        </w:numPr>
        <w:ind w:left="442" w:hanging="330"/>
        <w:tabs>
          <w:tab w:val="left" w:pos="443" w:leader="none"/>
        </w:tabs>
        <w:rPr>
          <w:rFonts w:asciiTheme="minorHAnsi" w:hAnsiTheme="minorHAnsi" w:cstheme="minorHAnsi"/>
        </w:rPr>
      </w:pPr>
      <w:r/>
      <w:hyperlink r:id="rId22" w:tooltip="http://www.who.int/" w:history="1">
        <w:r>
          <w:rPr>
            <w:rFonts w:asciiTheme="minorHAnsi" w:hAnsiTheme="minorHAnsi" w:cstheme="minorHAnsi"/>
            <w:color w:val="0000ff"/>
            <w:u w:val="single"/>
          </w:rPr>
          <w:t xml:space="preserve">www.who.int</w:t>
        </w:r>
      </w:hyperlink>
      <w:r/>
      <w:r/>
    </w:p>
    <w:p>
      <w:pPr>
        <w:pStyle w:val="712"/>
        <w:numPr>
          <w:ilvl w:val="0"/>
          <w:numId w:val="1"/>
        </w:numPr>
        <w:ind w:left="444" w:hanging="332"/>
        <w:tabs>
          <w:tab w:val="left" w:pos="445" w:leader="none"/>
        </w:tabs>
        <w:rPr>
          <w:rFonts w:asciiTheme="minorHAnsi" w:hAnsiTheme="minorHAnsi" w:cstheme="minorHAnsi"/>
        </w:rPr>
      </w:pPr>
      <w:r/>
      <w:hyperlink r:id="rId23" w:tooltip="http://www.canada.ca/en/public-health/services/immunization-vaccines.html" w:history="1">
        <w:r>
          <w:rPr>
            <w:rStyle w:val="718"/>
            <w:rFonts w:asciiTheme="minorHAnsi" w:hAnsiTheme="minorHAnsi" w:cstheme="minorHAnsi"/>
          </w:rPr>
          <w:t xml:space="preserve">https://www.canada.ca/en/public-health/services/immunization-vaccines.html</w:t>
        </w:r>
      </w:hyperlink>
      <w:r>
        <w:rPr>
          <w:rFonts w:asciiTheme="minorHAnsi" w:hAnsiTheme="minorHAnsi" w:cstheme="minorHAnsi"/>
        </w:rPr>
        <w:t xml:space="preserve"> </w:t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w="11910" w:h="17340" w:orient="portrait"/>
      <w:pgMar w:top="1640" w:right="1020" w:bottom="280" w:left="1080" w:header="284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4"/>
      <w:jc w:val="right"/>
      <w:rPr>
        <w:sz w:val="18"/>
        <w:szCs w:val="18"/>
      </w:rPr>
    </w:pPr>
    <w:r>
      <w:rPr>
        <w:sz w:val="18"/>
        <w:szCs w:val="18"/>
      </w:rPr>
      <w:t xml:space="preserve">Grado de Nutrición Humana y Dietética. </w:t>
    </w:r>
    <w:r/>
  </w:p>
  <w:p>
    <w:pPr>
      <w:pStyle w:val="714"/>
      <w:jc w:val="right"/>
      <w:rPr>
        <w:sz w:val="18"/>
        <w:szCs w:val="18"/>
      </w:rPr>
    </w:pPr>
    <w:r>
      <w:rPr>
        <w:sz w:val="18"/>
        <w:szCs w:val="18"/>
      </w:rPr>
      <w:t xml:space="preserve">Salud Pública.</w:t>
    </w:r>
    <w:r/>
  </w:p>
  <w:p>
    <w:pPr>
      <w:pStyle w:val="714"/>
      <w:jc w:val="right"/>
      <w:rPr>
        <w:sz w:val="18"/>
        <w:szCs w:val="18"/>
      </w:rPr>
    </w:pPr>
    <w:r>
      <w:rPr>
        <w:sz w:val="18"/>
        <w:szCs w:val="18"/>
      </w:rPr>
      <w:t xml:space="preserve">Seminario 3. Vacunas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0" w:hanging="219"/>
        <w:jc w:val="left"/>
      </w:pPr>
      <w:rPr>
        <w:rFonts w:hint="default" w:ascii="Calibri" w:hAnsi="Calibri" w:eastAsia="Calibri" w:cs="Calibri"/>
        <w:sz w:val="22"/>
        <w:szCs w:val="22"/>
        <w:lang w:val="es-ES" w:eastAsia="es-ES" w:bidi="es-ES"/>
      </w:rPr>
    </w:lvl>
    <w:lvl w:ilvl="1">
      <w:start w:val="1"/>
      <w:numFmt w:val="bullet"/>
      <w:isLgl w:val="false"/>
      <w:suff w:val="tab"/>
      <w:lvlText w:val="•"/>
      <w:lvlJc w:val="left"/>
      <w:pPr>
        <w:ind w:left="1286" w:hanging="219"/>
      </w:pPr>
      <w:rPr>
        <w:rFonts w:hint="default"/>
        <w:lang w:val="es-ES" w:eastAsia="es-ES" w:bidi="es-ES"/>
      </w:rPr>
    </w:lvl>
    <w:lvl w:ilvl="2">
      <w:start w:val="1"/>
      <w:numFmt w:val="bullet"/>
      <w:isLgl w:val="false"/>
      <w:suff w:val="tab"/>
      <w:lvlText w:val="•"/>
      <w:lvlJc w:val="left"/>
      <w:pPr>
        <w:ind w:left="2233" w:hanging="219"/>
      </w:pPr>
      <w:rPr>
        <w:rFonts w:hint="default"/>
        <w:lang w:val="es-ES" w:eastAsia="es-ES" w:bidi="es-ES"/>
      </w:rPr>
    </w:lvl>
    <w:lvl w:ilvl="3">
      <w:start w:val="1"/>
      <w:numFmt w:val="bullet"/>
      <w:isLgl w:val="false"/>
      <w:suff w:val="tab"/>
      <w:lvlText w:val="•"/>
      <w:lvlJc w:val="left"/>
      <w:pPr>
        <w:ind w:left="3179" w:hanging="219"/>
      </w:pPr>
      <w:rPr>
        <w:rFonts w:hint="default"/>
        <w:lang w:val="es-ES" w:eastAsia="es-ES" w:bidi="es-ES"/>
      </w:rPr>
    </w:lvl>
    <w:lvl w:ilvl="4">
      <w:start w:val="1"/>
      <w:numFmt w:val="bullet"/>
      <w:isLgl w:val="false"/>
      <w:suff w:val="tab"/>
      <w:lvlText w:val="•"/>
      <w:lvlJc w:val="left"/>
      <w:pPr>
        <w:ind w:left="4126" w:hanging="219"/>
      </w:pPr>
      <w:rPr>
        <w:rFonts w:hint="default"/>
        <w:lang w:val="es-ES" w:eastAsia="es-ES" w:bidi="es-ES"/>
      </w:rPr>
    </w:lvl>
    <w:lvl w:ilvl="5">
      <w:start w:val="1"/>
      <w:numFmt w:val="bullet"/>
      <w:isLgl w:val="false"/>
      <w:suff w:val="tab"/>
      <w:lvlText w:val="•"/>
      <w:lvlJc w:val="left"/>
      <w:pPr>
        <w:ind w:left="5073" w:hanging="219"/>
      </w:pPr>
      <w:rPr>
        <w:rFonts w:hint="default"/>
        <w:lang w:val="es-ES" w:eastAsia="es-ES" w:bidi="es-ES"/>
      </w:rPr>
    </w:lvl>
    <w:lvl w:ilvl="6">
      <w:start w:val="1"/>
      <w:numFmt w:val="bullet"/>
      <w:isLgl w:val="false"/>
      <w:suff w:val="tab"/>
      <w:lvlText w:val="•"/>
      <w:lvlJc w:val="left"/>
      <w:pPr>
        <w:ind w:left="6019" w:hanging="219"/>
      </w:pPr>
      <w:rPr>
        <w:rFonts w:hint="default"/>
        <w:lang w:val="es-ES" w:eastAsia="es-ES" w:bidi="es-ES"/>
      </w:rPr>
    </w:lvl>
    <w:lvl w:ilvl="7">
      <w:start w:val="1"/>
      <w:numFmt w:val="bullet"/>
      <w:isLgl w:val="false"/>
      <w:suff w:val="tab"/>
      <w:lvlText w:val="•"/>
      <w:lvlJc w:val="left"/>
      <w:pPr>
        <w:ind w:left="6966" w:hanging="219"/>
      </w:pPr>
      <w:rPr>
        <w:rFonts w:hint="default"/>
        <w:lang w:val="es-ES" w:eastAsia="es-ES" w:bidi="es-ES"/>
      </w:rPr>
    </w:lvl>
    <w:lvl w:ilvl="8">
      <w:start w:val="1"/>
      <w:numFmt w:val="bullet"/>
      <w:isLgl w:val="false"/>
      <w:suff w:val="tab"/>
      <w:lvlText w:val="•"/>
      <w:lvlJc w:val="left"/>
      <w:pPr>
        <w:ind w:left="7913" w:hanging="219"/>
      </w:pPr>
      <w:rPr>
        <w:rFonts w:hint="default"/>
        <w:lang w:val="es-ES" w:eastAsia="es-ES" w:bidi="es-E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33" w:hanging="360"/>
        <w:jc w:val="left"/>
      </w:pPr>
      <w:rPr>
        <w:rFonts w:hint="default" w:ascii="Calibri" w:hAnsi="Calibri" w:eastAsia="Calibri" w:cs="Calibri"/>
        <w:sz w:val="23"/>
        <w:szCs w:val="23"/>
        <w:lang w:val="es-ES" w:eastAsia="es-ES" w:bidi="es-ES"/>
      </w:rPr>
    </w:lvl>
    <w:lvl w:ilvl="1">
      <w:start w:val="1"/>
      <w:numFmt w:val="bullet"/>
      <w:isLgl w:val="false"/>
      <w:suff w:val="tab"/>
      <w:lvlText w:val="•"/>
      <w:lvlJc w:val="left"/>
      <w:pPr>
        <w:ind w:left="1736" w:hanging="360"/>
      </w:pPr>
      <w:rPr>
        <w:rFonts w:hint="default"/>
        <w:lang w:val="es-ES" w:eastAsia="es-ES" w:bidi="es-ES"/>
      </w:rPr>
    </w:lvl>
    <w:lvl w:ilvl="2">
      <w:start w:val="1"/>
      <w:numFmt w:val="bullet"/>
      <w:isLgl w:val="false"/>
      <w:suff w:val="tab"/>
      <w:lvlText w:val="•"/>
      <w:lvlJc w:val="left"/>
      <w:pPr>
        <w:ind w:left="2633" w:hanging="360"/>
      </w:pPr>
      <w:rPr>
        <w:rFonts w:hint="default"/>
        <w:lang w:val="es-ES" w:eastAsia="es-ES" w:bidi="es-ES"/>
      </w:rPr>
    </w:lvl>
    <w:lvl w:ilvl="3">
      <w:start w:val="1"/>
      <w:numFmt w:val="bullet"/>
      <w:isLgl w:val="false"/>
      <w:suff w:val="tab"/>
      <w:lvlText w:val="•"/>
      <w:lvlJc w:val="left"/>
      <w:pPr>
        <w:ind w:left="3529" w:hanging="360"/>
      </w:pPr>
      <w:rPr>
        <w:rFonts w:hint="default"/>
        <w:lang w:val="es-ES" w:eastAsia="es-ES" w:bidi="es-ES"/>
      </w:rPr>
    </w:lvl>
    <w:lvl w:ilvl="4">
      <w:start w:val="1"/>
      <w:numFmt w:val="bullet"/>
      <w:isLgl w:val="false"/>
      <w:suff w:val="tab"/>
      <w:lvlText w:val="•"/>
      <w:lvlJc w:val="left"/>
      <w:pPr>
        <w:ind w:left="4426" w:hanging="360"/>
      </w:pPr>
      <w:rPr>
        <w:rFonts w:hint="default"/>
        <w:lang w:val="es-ES" w:eastAsia="es-ES" w:bidi="es-ES"/>
      </w:rPr>
    </w:lvl>
    <w:lvl w:ilvl="5">
      <w:start w:val="1"/>
      <w:numFmt w:val="bullet"/>
      <w:isLgl w:val="false"/>
      <w:suff w:val="tab"/>
      <w:lvlText w:val="•"/>
      <w:lvlJc w:val="left"/>
      <w:pPr>
        <w:ind w:left="5323" w:hanging="360"/>
      </w:pPr>
      <w:rPr>
        <w:rFonts w:hint="default"/>
        <w:lang w:val="es-ES" w:eastAsia="es-ES" w:bidi="es-ES"/>
      </w:rPr>
    </w:lvl>
    <w:lvl w:ilvl="6">
      <w:start w:val="1"/>
      <w:numFmt w:val="bullet"/>
      <w:isLgl w:val="false"/>
      <w:suff w:val="tab"/>
      <w:lvlText w:val="•"/>
      <w:lvlJc w:val="left"/>
      <w:pPr>
        <w:ind w:left="6219" w:hanging="360"/>
      </w:pPr>
      <w:rPr>
        <w:rFonts w:hint="default"/>
        <w:lang w:val="es-ES" w:eastAsia="es-ES" w:bidi="es-ES"/>
      </w:rPr>
    </w:lvl>
    <w:lvl w:ilvl="7">
      <w:start w:val="1"/>
      <w:numFmt w:val="bullet"/>
      <w:isLgl w:val="false"/>
      <w:suff w:val="tab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>
      <w:start w:val="1"/>
      <w:numFmt w:val="bullet"/>
      <w:isLgl w:val="false"/>
      <w:suff w:val="tab"/>
      <w:lvlText w:val="•"/>
      <w:lvlJc w:val="left"/>
      <w:pPr>
        <w:ind w:left="8013" w:hanging="360"/>
      </w:pPr>
      <w:rPr>
        <w:rFonts w:hint="default"/>
        <w:lang w:val="es-ES" w:eastAsia="es-ES" w:bidi="es-E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6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8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0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2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4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6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8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03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4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706"/>
    <w:next w:val="706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707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706"/>
    <w:next w:val="706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707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706"/>
    <w:next w:val="706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707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706"/>
    <w:next w:val="706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707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706"/>
    <w:next w:val="706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707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706"/>
    <w:next w:val="706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707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706"/>
    <w:next w:val="706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707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706"/>
    <w:next w:val="706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707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706"/>
    <w:next w:val="706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707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706"/>
    <w:next w:val="706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707"/>
    <w:link w:val="33"/>
    <w:uiPriority w:val="10"/>
    <w:rPr>
      <w:sz w:val="48"/>
      <w:szCs w:val="48"/>
    </w:rPr>
  </w:style>
  <w:style w:type="paragraph" w:styleId="35">
    <w:name w:val="Subtitle"/>
    <w:basedOn w:val="706"/>
    <w:next w:val="706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707"/>
    <w:link w:val="35"/>
    <w:uiPriority w:val="11"/>
    <w:rPr>
      <w:sz w:val="24"/>
      <w:szCs w:val="24"/>
    </w:rPr>
  </w:style>
  <w:style w:type="paragraph" w:styleId="37">
    <w:name w:val="Quote"/>
    <w:basedOn w:val="706"/>
    <w:next w:val="706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706"/>
    <w:next w:val="706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707"/>
    <w:link w:val="714"/>
    <w:uiPriority w:val="99"/>
  </w:style>
  <w:style w:type="character" w:styleId="44">
    <w:name w:val="Footer Char"/>
    <w:basedOn w:val="707"/>
    <w:link w:val="716"/>
    <w:uiPriority w:val="99"/>
  </w:style>
  <w:style w:type="paragraph" w:styleId="45">
    <w:name w:val="Caption"/>
    <w:basedOn w:val="706"/>
    <w:next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716"/>
    <w:uiPriority w:val="99"/>
  </w:style>
  <w:style w:type="table" w:styleId="47">
    <w:name w:val="Table Grid"/>
    <w:basedOn w:val="7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706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707"/>
    <w:uiPriority w:val="99"/>
    <w:unhideWhenUsed/>
    <w:rPr>
      <w:vertAlign w:val="superscript"/>
    </w:rPr>
  </w:style>
  <w:style w:type="paragraph" w:styleId="177">
    <w:name w:val="endnote text"/>
    <w:basedOn w:val="706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707"/>
    <w:uiPriority w:val="99"/>
    <w:semiHidden/>
    <w:unhideWhenUsed/>
    <w:rPr>
      <w:vertAlign w:val="superscript"/>
    </w:rPr>
  </w:style>
  <w:style w:type="paragraph" w:styleId="180">
    <w:name w:val="toc 1"/>
    <w:basedOn w:val="706"/>
    <w:next w:val="706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706"/>
    <w:next w:val="706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706"/>
    <w:next w:val="706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706"/>
    <w:next w:val="706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706"/>
    <w:next w:val="706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706"/>
    <w:next w:val="706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706"/>
    <w:next w:val="706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706"/>
    <w:next w:val="706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706"/>
    <w:next w:val="706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706"/>
    <w:next w:val="706"/>
    <w:uiPriority w:val="99"/>
    <w:unhideWhenUsed/>
    <w:pPr>
      <w:spacing w:after="0" w:afterAutospacing="0"/>
    </w:pPr>
  </w:style>
  <w:style w:type="paragraph" w:styleId="706" w:default="1">
    <w:name w:val="Normal"/>
    <w:qFormat/>
    <w:rPr>
      <w:rFonts w:ascii="Calibri" w:hAnsi="Calibri" w:eastAsia="Calibri" w:cs="Calibri"/>
      <w:lang w:val="es-ES" w:eastAsia="es-ES" w:bidi="es-ES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table" w:styleId="710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11">
    <w:name w:val="Body Text"/>
    <w:basedOn w:val="706"/>
    <w:uiPriority w:val="1"/>
    <w:qFormat/>
    <w:pPr>
      <w:ind w:left="833" w:hanging="360"/>
    </w:pPr>
    <w:rPr>
      <w:sz w:val="23"/>
      <w:szCs w:val="23"/>
    </w:rPr>
  </w:style>
  <w:style w:type="paragraph" w:styleId="712">
    <w:name w:val="List Paragraph"/>
    <w:basedOn w:val="706"/>
    <w:uiPriority w:val="1"/>
    <w:qFormat/>
    <w:pPr>
      <w:ind w:left="330" w:hanging="218"/>
    </w:pPr>
  </w:style>
  <w:style w:type="paragraph" w:styleId="713" w:customStyle="1">
    <w:name w:val="Table Paragraph"/>
    <w:basedOn w:val="706"/>
    <w:uiPriority w:val="1"/>
    <w:qFormat/>
  </w:style>
  <w:style w:type="paragraph" w:styleId="714">
    <w:name w:val="Header"/>
    <w:basedOn w:val="706"/>
    <w:link w:val="715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715" w:customStyle="1">
    <w:name w:val="Encabezado Car"/>
    <w:basedOn w:val="707"/>
    <w:link w:val="714"/>
    <w:uiPriority w:val="99"/>
    <w:rPr>
      <w:rFonts w:ascii="Calibri" w:hAnsi="Calibri" w:eastAsia="Calibri" w:cs="Calibri"/>
      <w:lang w:val="es-ES" w:eastAsia="es-ES" w:bidi="es-ES"/>
    </w:rPr>
  </w:style>
  <w:style w:type="paragraph" w:styleId="716">
    <w:name w:val="Footer"/>
    <w:basedOn w:val="706"/>
    <w:link w:val="717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717" w:customStyle="1">
    <w:name w:val="Pie de página Car"/>
    <w:basedOn w:val="707"/>
    <w:link w:val="716"/>
    <w:uiPriority w:val="99"/>
    <w:rPr>
      <w:rFonts w:ascii="Calibri" w:hAnsi="Calibri" w:eastAsia="Calibri" w:cs="Calibri"/>
      <w:lang w:val="es-ES" w:eastAsia="es-ES" w:bidi="es-ES"/>
    </w:rPr>
  </w:style>
  <w:style w:type="character" w:styleId="718">
    <w:name w:val="Hyperlink"/>
    <w:basedOn w:val="707"/>
    <w:uiPriority w:val="99"/>
    <w:unhideWhenUsed/>
    <w:rPr>
      <w:color w:val="0000ff" w:themeColor="hyperlink"/>
      <w:u w:val="single"/>
    </w:rPr>
  </w:style>
  <w:style w:type="character" w:styleId="719">
    <w:name w:val="Unresolved Mention"/>
    <w:basedOn w:val="707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hyperlink" Target="http://www.vacunas.org/" TargetMode="External"/><Relationship Id="rId16" Type="http://schemas.openxmlformats.org/officeDocument/2006/relationships/hyperlink" Target="http://www.msc.es/profesonales/saludpublica/prevencionypromocion" TargetMode="External"/><Relationship Id="rId17" Type="http://schemas.openxmlformats.org/officeDocument/2006/relationships/hyperlink" Target="http://www.fisterra.com/vacunas" TargetMode="External"/><Relationship Id="rId18" Type="http://schemas.openxmlformats.org/officeDocument/2006/relationships/hyperlink" Target="http://www.euvac.net/" TargetMode="External"/><Relationship Id="rId19" Type="http://schemas.openxmlformats.org/officeDocument/2006/relationships/hyperlink" Target="http://ecdc.europa.eu/en/pages/home.aspx" TargetMode="External"/><Relationship Id="rId20" Type="http://schemas.openxmlformats.org/officeDocument/2006/relationships/hyperlink" Target="http://www.vaccinealliance.org/" TargetMode="External"/><Relationship Id="rId21" Type="http://schemas.openxmlformats.org/officeDocument/2006/relationships/hyperlink" Target="http://www.cdc.gov/" TargetMode="External"/><Relationship Id="rId22" Type="http://schemas.openxmlformats.org/officeDocument/2006/relationships/hyperlink" Target="http://www.who.int/" TargetMode="External"/><Relationship Id="rId23" Type="http://schemas.openxmlformats.org/officeDocument/2006/relationships/hyperlink" Target="http://www.canada.ca/en/public-health/services/immunization-vaccines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revision>3</cp:revision>
  <dcterms:created xsi:type="dcterms:W3CDTF">2022-11-05T18:27:00Z</dcterms:created>
  <dcterms:modified xsi:type="dcterms:W3CDTF">2022-11-08T17:35:24Z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2022-11-05T00:00:00Z</vt:filetime>
  </property>
</Properties>
</file>